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33D6" w14:textId="4BBFEA69" w:rsidR="0042348C" w:rsidRDefault="0042348C" w:rsidP="0042348C">
      <w:pPr>
        <w:jc w:val="center"/>
        <w:rPr>
          <w:b/>
          <w:bCs/>
          <w:color w:val="44546A" w:themeColor="text2"/>
          <w:sz w:val="32"/>
          <w:szCs w:val="32"/>
        </w:rPr>
      </w:pPr>
      <w:r>
        <w:rPr>
          <w:b/>
          <w:bCs/>
          <w:noProof/>
          <w:sz w:val="32"/>
          <w:szCs w:val="32"/>
        </w:rPr>
        <w:drawing>
          <wp:inline distT="0" distB="0" distL="0" distR="0" wp14:anchorId="1C90A972" wp14:editId="0154CEF4">
            <wp:extent cx="156177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1770" cy="1097280"/>
                    </a:xfrm>
                    <a:prstGeom prst="rect">
                      <a:avLst/>
                    </a:prstGeom>
                    <a:noFill/>
                  </pic:spPr>
                </pic:pic>
              </a:graphicData>
            </a:graphic>
          </wp:inline>
        </w:drawing>
      </w:r>
    </w:p>
    <w:p w14:paraId="4D11EAE9" w14:textId="456403E5" w:rsidR="00385881" w:rsidRPr="008D3180" w:rsidRDefault="001B5E1B" w:rsidP="004A4704">
      <w:pPr>
        <w:spacing w:after="0"/>
        <w:jc w:val="center"/>
        <w:rPr>
          <w:b/>
          <w:bCs/>
          <w:color w:val="44546A" w:themeColor="text2"/>
          <w:sz w:val="32"/>
          <w:szCs w:val="32"/>
        </w:rPr>
      </w:pPr>
      <w:r>
        <w:rPr>
          <w:b/>
          <w:bCs/>
          <w:color w:val="44546A" w:themeColor="text2"/>
          <w:sz w:val="32"/>
          <w:szCs w:val="32"/>
        </w:rPr>
        <w:t xml:space="preserve">DISABILITY </w:t>
      </w:r>
      <w:r w:rsidR="00385881" w:rsidRPr="008D3180">
        <w:rPr>
          <w:b/>
          <w:bCs/>
          <w:color w:val="44546A" w:themeColor="text2"/>
          <w:sz w:val="32"/>
          <w:szCs w:val="32"/>
        </w:rPr>
        <w:t xml:space="preserve">REFERENCE GROUP </w:t>
      </w:r>
      <w:r w:rsidR="00613EBF">
        <w:rPr>
          <w:b/>
          <w:bCs/>
          <w:color w:val="44546A" w:themeColor="text2"/>
          <w:sz w:val="32"/>
          <w:szCs w:val="32"/>
        </w:rPr>
        <w:t>– IASC Community of Practice</w:t>
      </w:r>
    </w:p>
    <w:p w14:paraId="103341D0" w14:textId="6EE18E51" w:rsidR="00BD127C" w:rsidRDefault="00385881" w:rsidP="0042348C">
      <w:pPr>
        <w:jc w:val="center"/>
        <w:rPr>
          <w:b/>
          <w:bCs/>
          <w:sz w:val="32"/>
          <w:szCs w:val="32"/>
        </w:rPr>
      </w:pPr>
      <w:r w:rsidRPr="008D3180">
        <w:rPr>
          <w:b/>
          <w:bCs/>
          <w:sz w:val="32"/>
          <w:szCs w:val="32"/>
        </w:rPr>
        <w:t xml:space="preserve">Work Plan </w:t>
      </w:r>
      <w:r w:rsidR="00806C97">
        <w:rPr>
          <w:b/>
          <w:bCs/>
          <w:sz w:val="32"/>
          <w:szCs w:val="32"/>
        </w:rPr>
        <w:t>January 202</w:t>
      </w:r>
      <w:r w:rsidR="00843A6D">
        <w:rPr>
          <w:b/>
          <w:bCs/>
          <w:sz w:val="32"/>
          <w:szCs w:val="32"/>
        </w:rPr>
        <w:t>6</w:t>
      </w:r>
      <w:r w:rsidR="00DF5EA5">
        <w:rPr>
          <w:b/>
          <w:bCs/>
          <w:sz w:val="32"/>
          <w:szCs w:val="32"/>
        </w:rPr>
        <w:t>- December 202</w:t>
      </w:r>
      <w:r w:rsidR="001B5E1B">
        <w:rPr>
          <w:b/>
          <w:bCs/>
          <w:sz w:val="32"/>
          <w:szCs w:val="32"/>
        </w:rPr>
        <w:t>7</w:t>
      </w:r>
    </w:p>
    <w:p w14:paraId="6572B412" w14:textId="6944E67C" w:rsidR="00385881" w:rsidRPr="008D3180" w:rsidRDefault="00385881" w:rsidP="00385881">
      <w:pPr>
        <w:pBdr>
          <w:bottom w:val="single" w:sz="4" w:space="1" w:color="auto"/>
        </w:pBdr>
        <w:rPr>
          <w:b/>
          <w:bCs/>
          <w:sz w:val="24"/>
          <w:szCs w:val="24"/>
        </w:rPr>
      </w:pPr>
      <w:r w:rsidRPr="008D3180">
        <w:rPr>
          <w:b/>
          <w:bCs/>
          <w:sz w:val="24"/>
          <w:szCs w:val="24"/>
        </w:rPr>
        <w:t>Principles</w:t>
      </w:r>
      <w:r w:rsidR="00915532" w:rsidRPr="008D3180">
        <w:rPr>
          <w:b/>
          <w:bCs/>
          <w:sz w:val="24"/>
          <w:szCs w:val="24"/>
        </w:rPr>
        <w:t xml:space="preserve"> and process</w:t>
      </w:r>
    </w:p>
    <w:p w14:paraId="7C7301AF" w14:textId="6A9017A4" w:rsidR="00385881" w:rsidRPr="00385881" w:rsidRDefault="00385881" w:rsidP="00385881">
      <w:pPr>
        <w:pStyle w:val="ListParagraph"/>
        <w:numPr>
          <w:ilvl w:val="0"/>
          <w:numId w:val="2"/>
        </w:numPr>
        <w:rPr>
          <w:bCs/>
        </w:rPr>
      </w:pPr>
      <w:r w:rsidRPr="00385881">
        <w:rPr>
          <w:bCs/>
        </w:rPr>
        <w:t xml:space="preserve">The </w:t>
      </w:r>
      <w:r w:rsidR="00915532">
        <w:rPr>
          <w:bCs/>
        </w:rPr>
        <w:t>w</w:t>
      </w:r>
      <w:r w:rsidRPr="00385881">
        <w:rPr>
          <w:bCs/>
        </w:rPr>
        <w:t xml:space="preserve">orkplan reflects/is aligned with the TORs of the </w:t>
      </w:r>
      <w:r w:rsidR="00E37C5A">
        <w:rPr>
          <w:bCs/>
        </w:rPr>
        <w:t>DRG</w:t>
      </w:r>
      <w:r w:rsidR="00987AE4">
        <w:rPr>
          <w:bCs/>
        </w:rPr>
        <w:t xml:space="preserve"> as well as system-wide priorities and opportunities</w:t>
      </w:r>
    </w:p>
    <w:p w14:paraId="771BE6F5" w14:textId="34E7E9C3" w:rsidR="00CE41BA" w:rsidRPr="00CE41BA" w:rsidRDefault="00385881" w:rsidP="00CE41BA">
      <w:pPr>
        <w:pStyle w:val="ListParagraph"/>
        <w:numPr>
          <w:ilvl w:val="0"/>
          <w:numId w:val="2"/>
        </w:numPr>
        <w:rPr>
          <w:bCs/>
        </w:rPr>
      </w:pPr>
      <w:r w:rsidRPr="00385881">
        <w:rPr>
          <w:bCs/>
        </w:rPr>
        <w:t xml:space="preserve">The workplan is a living document that will evolve </w:t>
      </w:r>
      <w:r w:rsidR="00CE41BA">
        <w:rPr>
          <w:bCs/>
        </w:rPr>
        <w:t>over</w:t>
      </w:r>
      <w:r w:rsidRPr="00385881">
        <w:rPr>
          <w:bCs/>
        </w:rPr>
        <w:t xml:space="preserve"> time and will be revised periodically based on needs</w:t>
      </w:r>
      <w:r w:rsidR="00915532">
        <w:rPr>
          <w:bCs/>
        </w:rPr>
        <w:t xml:space="preserve"> and opportunities</w:t>
      </w:r>
      <w:r w:rsidRPr="00385881">
        <w:rPr>
          <w:bCs/>
        </w:rPr>
        <w:t>.</w:t>
      </w:r>
      <w:r w:rsidR="004A4704">
        <w:rPr>
          <w:bCs/>
        </w:rPr>
        <w:t xml:space="preserve"> The workplan will be reviewed in DRG meetings every quarter</w:t>
      </w:r>
    </w:p>
    <w:p w14:paraId="3609F435" w14:textId="4E02F93B" w:rsidR="00385881" w:rsidRPr="00385881" w:rsidRDefault="00385881" w:rsidP="00385881">
      <w:pPr>
        <w:pStyle w:val="ListParagraph"/>
        <w:numPr>
          <w:ilvl w:val="0"/>
          <w:numId w:val="2"/>
        </w:numPr>
        <w:rPr>
          <w:bCs/>
        </w:rPr>
      </w:pPr>
      <w:r w:rsidRPr="00385881">
        <w:rPr>
          <w:bCs/>
        </w:rPr>
        <w:t xml:space="preserve">The workplan is owned by the whole </w:t>
      </w:r>
      <w:r w:rsidR="00915532">
        <w:rPr>
          <w:bCs/>
        </w:rPr>
        <w:t>D</w:t>
      </w:r>
      <w:r w:rsidRPr="00385881">
        <w:rPr>
          <w:bCs/>
        </w:rPr>
        <w:t xml:space="preserve">RG </w:t>
      </w:r>
      <w:r w:rsidR="00DA3D2E">
        <w:rPr>
          <w:bCs/>
        </w:rPr>
        <w:t>membership</w:t>
      </w:r>
    </w:p>
    <w:p w14:paraId="7531DD59" w14:textId="632027EB" w:rsidR="00385881" w:rsidRPr="003D03EF" w:rsidRDefault="00385881" w:rsidP="003D03EF">
      <w:pPr>
        <w:pStyle w:val="ListParagraph"/>
        <w:numPr>
          <w:ilvl w:val="0"/>
          <w:numId w:val="2"/>
        </w:numPr>
        <w:rPr>
          <w:bCs/>
        </w:rPr>
      </w:pPr>
      <w:r w:rsidRPr="00385881">
        <w:rPr>
          <w:bCs/>
        </w:rPr>
        <w:t xml:space="preserve">The workplan will be the basis for </w:t>
      </w:r>
      <w:r w:rsidR="00774186">
        <w:rPr>
          <w:bCs/>
        </w:rPr>
        <w:t>resource mobilization</w:t>
      </w:r>
      <w:r w:rsidRPr="00385881">
        <w:rPr>
          <w:bCs/>
        </w:rPr>
        <w:t xml:space="preserve"> efforts and external </w:t>
      </w:r>
      <w:r w:rsidR="00915532">
        <w:rPr>
          <w:bCs/>
        </w:rPr>
        <w:t>D</w:t>
      </w:r>
      <w:r w:rsidRPr="00385881">
        <w:rPr>
          <w:bCs/>
        </w:rPr>
        <w:t>RG communications</w:t>
      </w:r>
    </w:p>
    <w:p w14:paraId="15059679" w14:textId="037B157C" w:rsidR="00385881" w:rsidRPr="008D3180" w:rsidRDefault="00385881" w:rsidP="00385881">
      <w:pPr>
        <w:pBdr>
          <w:bottom w:val="single" w:sz="4" w:space="1" w:color="auto"/>
        </w:pBdr>
        <w:rPr>
          <w:b/>
          <w:bCs/>
          <w:sz w:val="24"/>
          <w:szCs w:val="24"/>
        </w:rPr>
      </w:pPr>
      <w:bookmarkStart w:id="0" w:name="_Hlk41037115"/>
      <w:r w:rsidRPr="008D3180">
        <w:rPr>
          <w:b/>
          <w:bCs/>
          <w:sz w:val="24"/>
          <w:szCs w:val="24"/>
        </w:rPr>
        <w:t>Cross cutting priorities across all work streams</w:t>
      </w:r>
    </w:p>
    <w:bookmarkEnd w:id="0"/>
    <w:p w14:paraId="126A4C3E" w14:textId="63A85A41" w:rsidR="00385881" w:rsidRPr="00385881" w:rsidRDefault="00385881" w:rsidP="00385881">
      <w:pPr>
        <w:pStyle w:val="ListParagraph"/>
        <w:numPr>
          <w:ilvl w:val="0"/>
          <w:numId w:val="1"/>
        </w:numPr>
      </w:pPr>
      <w:r w:rsidRPr="00385881">
        <w:t>Foster participation</w:t>
      </w:r>
      <w:r w:rsidR="00806C97">
        <w:t xml:space="preserve"> and leadership</w:t>
      </w:r>
      <w:r w:rsidRPr="00385881">
        <w:t xml:space="preserve"> by OPDs</w:t>
      </w:r>
      <w:r w:rsidR="00774186">
        <w:t xml:space="preserve"> (both a dedicated work stream and a </w:t>
      </w:r>
      <w:proofErr w:type="gramStart"/>
      <w:r w:rsidR="00774186">
        <w:t>cross cutting</w:t>
      </w:r>
      <w:proofErr w:type="gramEnd"/>
      <w:r w:rsidR="00774186">
        <w:t xml:space="preserve"> priority)</w:t>
      </w:r>
    </w:p>
    <w:p w14:paraId="62C28176" w14:textId="4C9B616E" w:rsidR="0059162E" w:rsidRDefault="0059162E" w:rsidP="00385881">
      <w:pPr>
        <w:pStyle w:val="ListParagraph"/>
        <w:numPr>
          <w:ilvl w:val="0"/>
          <w:numId w:val="1"/>
        </w:numPr>
      </w:pPr>
      <w:r>
        <w:t>Reflect intersectionality, including consideration of gender and age</w:t>
      </w:r>
    </w:p>
    <w:p w14:paraId="364195C2" w14:textId="7FF58F6D" w:rsidR="002F2265" w:rsidRDefault="00385881" w:rsidP="002F2265">
      <w:pPr>
        <w:pStyle w:val="ListParagraph"/>
        <w:numPr>
          <w:ilvl w:val="0"/>
          <w:numId w:val="1"/>
        </w:numPr>
      </w:pPr>
      <w:r w:rsidRPr="00385881">
        <w:t xml:space="preserve">Ensure more marginalized and at-risk groups </w:t>
      </w:r>
      <w:r w:rsidR="00903DAC">
        <w:t xml:space="preserve">with disabilities </w:t>
      </w:r>
      <w:r w:rsidRPr="00385881">
        <w:t xml:space="preserve">are </w:t>
      </w:r>
      <w:r w:rsidR="00806C97">
        <w:t>included</w:t>
      </w:r>
      <w:r w:rsidRPr="00385881">
        <w:t xml:space="preserve"> (including people with intellectual and psychosocial disabilities)</w:t>
      </w:r>
    </w:p>
    <w:p w14:paraId="7C697903" w14:textId="30022626" w:rsidR="003D03EF" w:rsidRPr="008D3180" w:rsidRDefault="003D03EF" w:rsidP="003D03EF">
      <w:pPr>
        <w:pBdr>
          <w:bottom w:val="single" w:sz="4" w:space="1" w:color="auto"/>
        </w:pBdr>
        <w:rPr>
          <w:b/>
          <w:bCs/>
          <w:sz w:val="24"/>
          <w:szCs w:val="24"/>
        </w:rPr>
      </w:pPr>
      <w:r>
        <w:rPr>
          <w:b/>
          <w:bCs/>
          <w:sz w:val="24"/>
          <w:szCs w:val="24"/>
        </w:rPr>
        <w:t>Mechanisms for coordination</w:t>
      </w:r>
    </w:p>
    <w:p w14:paraId="38AC2FEA" w14:textId="27683F9B" w:rsidR="00DF5EA5" w:rsidRDefault="003D03EF" w:rsidP="003D03EF">
      <w:pPr>
        <w:pStyle w:val="ListParagraph"/>
        <w:numPr>
          <w:ilvl w:val="0"/>
          <w:numId w:val="1"/>
        </w:numPr>
      </w:pPr>
      <w:proofErr w:type="gramStart"/>
      <w:r>
        <w:t>In order to</w:t>
      </w:r>
      <w:proofErr w:type="gramEnd"/>
      <w:r>
        <w:t xml:space="preserve"> promote effective coordination across all workstreams of the DRG, co-chairs will convene regular coordination meetings, including:</w:t>
      </w:r>
    </w:p>
    <w:p w14:paraId="39C766E2" w14:textId="0A8C39F8" w:rsidR="003D03EF" w:rsidRDefault="003D03EF" w:rsidP="003D03EF">
      <w:pPr>
        <w:pStyle w:val="ListParagraph"/>
        <w:numPr>
          <w:ilvl w:val="1"/>
          <w:numId w:val="1"/>
        </w:numPr>
      </w:pPr>
      <w:r>
        <w:t xml:space="preserve">Update </w:t>
      </w:r>
      <w:proofErr w:type="gramStart"/>
      <w:r>
        <w:t>meeting</w:t>
      </w:r>
      <w:proofErr w:type="gramEnd"/>
      <w:r>
        <w:t xml:space="preserve"> between DRG co-chairs and working group leads </w:t>
      </w:r>
      <w:proofErr w:type="gramStart"/>
      <w:r>
        <w:t>for</w:t>
      </w:r>
      <w:proofErr w:type="gramEnd"/>
      <w:r>
        <w:t xml:space="preserve"> each work stream at least three times per year</w:t>
      </w:r>
    </w:p>
    <w:p w14:paraId="3CBCCEA1" w14:textId="40988BD4" w:rsidR="003D03EF" w:rsidRDefault="003D03EF" w:rsidP="003D03EF">
      <w:pPr>
        <w:pStyle w:val="ListParagraph"/>
        <w:numPr>
          <w:ilvl w:val="1"/>
          <w:numId w:val="1"/>
        </w:numPr>
      </w:pPr>
      <w:r>
        <w:t xml:space="preserve">Coordination meeting between DRG co-chairs and all working </w:t>
      </w:r>
      <w:proofErr w:type="gramStart"/>
      <w:r>
        <w:t>group leads</w:t>
      </w:r>
      <w:proofErr w:type="gramEnd"/>
      <w:r>
        <w:t xml:space="preserve"> at least three times per year</w:t>
      </w:r>
    </w:p>
    <w:p w14:paraId="41A56370" w14:textId="77777777" w:rsidR="001A6529" w:rsidRPr="00AF6684" w:rsidRDefault="001A6529" w:rsidP="001A6529">
      <w:pPr>
        <w:pBdr>
          <w:bottom w:val="single" w:sz="4" w:space="1" w:color="auto"/>
        </w:pBdr>
        <w:rPr>
          <w:rFonts w:ascii="Arial Narrow" w:hAnsi="Arial Narrow" w:cstheme="minorHAnsi"/>
          <w:b/>
          <w:bCs/>
          <w:color w:val="44546A" w:themeColor="text2"/>
          <w:sz w:val="28"/>
          <w:szCs w:val="28"/>
        </w:rPr>
      </w:pPr>
      <w:r w:rsidRPr="00AF6684">
        <w:rPr>
          <w:rFonts w:ascii="Arial Narrow" w:hAnsi="Arial Narrow"/>
          <w:b/>
          <w:bCs/>
          <w:color w:val="44546A" w:themeColor="text2"/>
          <w:sz w:val="28"/>
          <w:szCs w:val="28"/>
        </w:rPr>
        <w:lastRenderedPageBreak/>
        <w:t xml:space="preserve">Work stream 1: </w:t>
      </w:r>
      <w:r w:rsidRPr="00AF6684">
        <w:rPr>
          <w:rFonts w:ascii="Arial Narrow" w:eastAsia="Calibri" w:hAnsi="Arial Narrow" w:cstheme="minorHAnsi"/>
          <w:color w:val="44546A" w:themeColor="text2"/>
          <w:sz w:val="28"/>
          <w:szCs w:val="28"/>
        </w:rPr>
        <w:t xml:space="preserve">Operationalize the </w:t>
      </w:r>
      <w:r w:rsidRPr="00AF6684">
        <w:rPr>
          <w:rFonts w:ascii="Arial Narrow" w:eastAsia="Calibri" w:hAnsi="Arial Narrow" w:cstheme="minorHAnsi"/>
          <w:i/>
          <w:iCs/>
          <w:color w:val="44546A" w:themeColor="text2"/>
          <w:sz w:val="28"/>
          <w:szCs w:val="28"/>
        </w:rPr>
        <w:t>IASC Guidelines on Inclusion of Persons with Disabilities in Humanitarian Action</w:t>
      </w:r>
      <w:r w:rsidRPr="00AF6684">
        <w:rPr>
          <w:rFonts w:ascii="Arial Narrow" w:eastAsia="Calibri" w:hAnsi="Arial Narrow" w:cstheme="minorHAnsi"/>
          <w:color w:val="44546A" w:themeColor="text2"/>
          <w:sz w:val="28"/>
          <w:szCs w:val="28"/>
        </w:rPr>
        <w:t xml:space="preserve"> and other relevant guidelines and frameworks for disability inclusive humanitarian action through technical support for implementation</w:t>
      </w:r>
    </w:p>
    <w:p w14:paraId="00E4903D" w14:textId="77777777" w:rsidR="001A6529" w:rsidRDefault="001A6529" w:rsidP="001A6529">
      <w:pPr>
        <w:rPr>
          <w:u w:val="single"/>
        </w:rPr>
      </w:pPr>
      <w:bookmarkStart w:id="1" w:name="_Hlk41037871"/>
      <w:r>
        <w:rPr>
          <w:u w:val="single"/>
        </w:rPr>
        <w:t>Objectives</w:t>
      </w:r>
    </w:p>
    <w:p w14:paraId="5B7E31C0" w14:textId="45011A58" w:rsidR="001A6529" w:rsidRDefault="001A6529" w:rsidP="001A6529">
      <w:r>
        <w:t>This work stream will s</w:t>
      </w:r>
      <w:r w:rsidRPr="00742AAE">
        <w:t xml:space="preserve">upport the </w:t>
      </w:r>
      <w:r>
        <w:t>implementation of</w:t>
      </w:r>
      <w:r w:rsidRPr="00742AAE">
        <w:t xml:space="preserve"> </w:t>
      </w:r>
      <w:r>
        <w:t xml:space="preserve">global guidance on disability inclusive humanitarian action (including </w:t>
      </w:r>
      <w:r w:rsidRPr="00742AAE">
        <w:t>the IASC Guideline</w:t>
      </w:r>
      <w:r>
        <w:t>s), through</w:t>
      </w:r>
      <w:r w:rsidRPr="00761E03">
        <w:t xml:space="preserve"> </w:t>
      </w:r>
      <w:r w:rsidRPr="00742AAE">
        <w:t>adapt</w:t>
      </w:r>
      <w:r>
        <w:t>ing and developing</w:t>
      </w:r>
      <w:r w:rsidRPr="00742AAE">
        <w:t xml:space="preserve"> tools and </w:t>
      </w:r>
      <w:r>
        <w:t xml:space="preserve">operational </w:t>
      </w:r>
      <w:r w:rsidRPr="00742AAE">
        <w:t xml:space="preserve">guidance </w:t>
      </w:r>
      <w:r>
        <w:t>and building the capacity of humanitarian actors</w:t>
      </w:r>
      <w:r w:rsidR="00613EBF">
        <w:t>, and through providing a platform for learning exchange and sharing good practice</w:t>
      </w:r>
      <w:r w:rsidRPr="00742AAE">
        <w:t>.</w:t>
      </w:r>
      <w:r>
        <w:t xml:space="preserve"> This work stream has an operational focus, aiming to affect change at field level. </w:t>
      </w:r>
    </w:p>
    <w:p w14:paraId="74D4968F" w14:textId="4EE48A8E" w:rsidR="004C1866" w:rsidRDefault="004C1866" w:rsidP="001A6529">
      <w:pPr>
        <w:rPr>
          <w:u w:val="single"/>
        </w:rPr>
      </w:pPr>
      <w:r>
        <w:rPr>
          <w:u w:val="single"/>
        </w:rPr>
        <w:t>Mechanism</w:t>
      </w:r>
      <w:r w:rsidR="00FA69AB">
        <w:rPr>
          <w:u w:val="single"/>
        </w:rPr>
        <w:t xml:space="preserve"> for delivery</w:t>
      </w:r>
    </w:p>
    <w:p w14:paraId="17C9F6DF" w14:textId="4E884FA3" w:rsidR="004C1866" w:rsidRPr="004C1866" w:rsidRDefault="004C1866" w:rsidP="001A6529">
      <w:r w:rsidRPr="004C1866">
        <w:t>This work stream is co</w:t>
      </w:r>
      <w:r>
        <w:t xml:space="preserve">ordinated by a dedicated working group, led by </w:t>
      </w:r>
      <w:r w:rsidR="00FA69AB">
        <w:t xml:space="preserve">Aline Bazerly, International Rescue Committee; and Laura Masuch, CBM-International </w:t>
      </w:r>
    </w:p>
    <w:p w14:paraId="751A6378" w14:textId="351EACB6" w:rsidR="001A6529" w:rsidRDefault="001A6529" w:rsidP="001A6529">
      <w:pPr>
        <w:rPr>
          <w:u w:val="single"/>
        </w:rPr>
      </w:pPr>
      <w:r>
        <w:rPr>
          <w:u w:val="single"/>
        </w:rPr>
        <w:t>Key priorities</w:t>
      </w:r>
    </w:p>
    <w:p w14:paraId="1E4510E9" w14:textId="77777777" w:rsidR="00B94708" w:rsidRDefault="00B94708" w:rsidP="00B94708">
      <w:pPr>
        <w:pStyle w:val="ListParagraph"/>
        <w:numPr>
          <w:ilvl w:val="0"/>
          <w:numId w:val="1"/>
        </w:numPr>
      </w:pPr>
      <w:r>
        <w:t xml:space="preserve">Developing and piloting a learning module/ product on the collection and use of disability data in humanitarian contexts, to support humanitarian actors to implement existing guidance and </w:t>
      </w:r>
      <w:proofErr w:type="gramStart"/>
      <w:r>
        <w:t>standards;</w:t>
      </w:r>
      <w:proofErr w:type="gramEnd"/>
    </w:p>
    <w:p w14:paraId="5AA684F9" w14:textId="77777777" w:rsidR="00B94708" w:rsidRDefault="00B94708" w:rsidP="00B94708">
      <w:pPr>
        <w:pStyle w:val="ListParagraph"/>
        <w:numPr>
          <w:ilvl w:val="0"/>
          <w:numId w:val="1"/>
        </w:numPr>
      </w:pPr>
      <w:r>
        <w:t>Organize regular learning exchanges led by WS1 members, based on pre-identified priority topics, e.g. Disability-Inclusive Cash and Voucher Assistance (</w:t>
      </w:r>
      <w:proofErr w:type="spellStart"/>
      <w:r>
        <w:t>iCVA</w:t>
      </w:r>
      <w:proofErr w:type="spellEnd"/>
      <w:r>
        <w:t xml:space="preserve">), meaningful OPD participation in the humanitarian system/ HNRP processes, Disability-inclusive advocacy and </w:t>
      </w:r>
      <w:proofErr w:type="gramStart"/>
      <w:r>
        <w:t>policy;</w:t>
      </w:r>
      <w:proofErr w:type="gramEnd"/>
    </w:p>
    <w:p w14:paraId="07D30EDF" w14:textId="71E7E703" w:rsidR="00B94708" w:rsidRDefault="00B94708" w:rsidP="00B94708">
      <w:pPr>
        <w:pStyle w:val="ListParagraph"/>
        <w:numPr>
          <w:ilvl w:val="0"/>
          <w:numId w:val="1"/>
        </w:numPr>
      </w:pPr>
      <w:r>
        <w:t xml:space="preserve">Look for opportunities for joint advocacy events led by WS1 members, with a focus on promoting the disability-data learning module in mainstream </w:t>
      </w:r>
      <w:proofErr w:type="gramStart"/>
      <w:r>
        <w:t>events;</w:t>
      </w:r>
      <w:proofErr w:type="gramEnd"/>
    </w:p>
    <w:p w14:paraId="46EE280D" w14:textId="77777777" w:rsidR="00B94708" w:rsidRDefault="00B94708" w:rsidP="00041AB3">
      <w:r>
        <w:t>Cross-cutting considerations: WS1 will be looking at improving collaboration and identification of synergies between the different workstream, especially with WS3 co-leads and members.</w:t>
      </w:r>
    </w:p>
    <w:bookmarkEnd w:id="1"/>
    <w:p w14:paraId="6872A229" w14:textId="43019D3C" w:rsidR="002F2265" w:rsidRPr="008D3180" w:rsidRDefault="002F2265" w:rsidP="002F2265">
      <w:pPr>
        <w:pBdr>
          <w:bottom w:val="single" w:sz="4" w:space="1" w:color="auto"/>
        </w:pBdr>
        <w:rPr>
          <w:b/>
          <w:bCs/>
          <w:color w:val="44546A" w:themeColor="text2"/>
          <w:sz w:val="28"/>
          <w:szCs w:val="28"/>
        </w:rPr>
      </w:pPr>
      <w:r w:rsidRPr="008D3180">
        <w:rPr>
          <w:b/>
          <w:bCs/>
          <w:color w:val="44546A" w:themeColor="text2"/>
          <w:sz w:val="28"/>
          <w:szCs w:val="28"/>
        </w:rPr>
        <w:t xml:space="preserve">Work stream 2: </w:t>
      </w:r>
      <w:r w:rsidRPr="008D3180">
        <w:rPr>
          <w:rFonts w:ascii="Arial Narrow" w:eastAsia="Calibri" w:hAnsi="Arial Narrow"/>
          <w:color w:val="44546A" w:themeColor="text2"/>
          <w:sz w:val="28"/>
          <w:szCs w:val="28"/>
          <w:lang w:val="en-GB"/>
        </w:rPr>
        <w:t xml:space="preserve">Mainstream inclusion of </w:t>
      </w:r>
      <w:proofErr w:type="gramStart"/>
      <w:r w:rsidRPr="008D3180">
        <w:rPr>
          <w:rFonts w:ascii="Arial Narrow" w:eastAsia="Calibri" w:hAnsi="Arial Narrow"/>
          <w:color w:val="44546A" w:themeColor="text2"/>
          <w:sz w:val="28"/>
          <w:szCs w:val="28"/>
          <w:lang w:val="en-GB"/>
        </w:rPr>
        <w:t>persons</w:t>
      </w:r>
      <w:proofErr w:type="gramEnd"/>
      <w:r w:rsidRPr="008D3180">
        <w:rPr>
          <w:rFonts w:ascii="Arial Narrow" w:eastAsia="Calibri" w:hAnsi="Arial Narrow"/>
          <w:color w:val="44546A" w:themeColor="text2"/>
          <w:sz w:val="28"/>
          <w:szCs w:val="28"/>
          <w:lang w:val="en-GB"/>
        </w:rPr>
        <w:t xml:space="preserve"> with disabilities across </w:t>
      </w:r>
      <w:r w:rsidR="006D6D18" w:rsidRPr="008D3180">
        <w:rPr>
          <w:rFonts w:ascii="Arial Narrow" w:eastAsia="Calibri" w:hAnsi="Arial Narrow"/>
          <w:color w:val="44546A" w:themeColor="text2"/>
          <w:sz w:val="28"/>
          <w:szCs w:val="28"/>
          <w:lang w:val="en-GB"/>
        </w:rPr>
        <w:t xml:space="preserve">global processes, including </w:t>
      </w:r>
      <w:r w:rsidRPr="008D3180">
        <w:rPr>
          <w:rFonts w:ascii="Arial Narrow" w:eastAsia="Calibri" w:hAnsi="Arial Narrow"/>
          <w:color w:val="44546A" w:themeColor="text2"/>
          <w:sz w:val="28"/>
          <w:szCs w:val="28"/>
          <w:lang w:val="en-GB"/>
        </w:rPr>
        <w:t xml:space="preserve">priority areas of the IASC </w:t>
      </w:r>
    </w:p>
    <w:p w14:paraId="56D69CC2" w14:textId="30738D53" w:rsidR="00915532" w:rsidRDefault="00915532" w:rsidP="00915532">
      <w:pPr>
        <w:rPr>
          <w:u w:val="single"/>
        </w:rPr>
      </w:pPr>
      <w:bookmarkStart w:id="2" w:name="_Hlk53059859"/>
      <w:r>
        <w:rPr>
          <w:u w:val="single"/>
        </w:rPr>
        <w:t>Objectives</w:t>
      </w:r>
    </w:p>
    <w:p w14:paraId="10A6116B" w14:textId="3D226CA7" w:rsidR="00820953" w:rsidRDefault="001433B6" w:rsidP="00915532">
      <w:r w:rsidRPr="001433B6">
        <w:t xml:space="preserve">The scope of workstream 2 is to engage with and influence global humanitarian </w:t>
      </w:r>
      <w:r w:rsidR="00B05DC8">
        <w:t>mechanisms</w:t>
      </w:r>
      <w:r w:rsidRPr="001433B6">
        <w:t xml:space="preserve"> and processes</w:t>
      </w:r>
      <w:r w:rsidR="003F46A4">
        <w:t xml:space="preserve"> to</w:t>
      </w:r>
      <w:r w:rsidRPr="001433B6">
        <w:t xml:space="preserve"> support the meaningful integration of disability inclusion. </w:t>
      </w:r>
      <w:r>
        <w:t xml:space="preserve">This workstream is contributing to existing </w:t>
      </w:r>
      <w:r w:rsidR="00820953">
        <w:t xml:space="preserve">policy, </w:t>
      </w:r>
      <w:r w:rsidR="00D5457E">
        <w:t xml:space="preserve">strategy, </w:t>
      </w:r>
      <w:r w:rsidR="00820953">
        <w:t>guidance a</w:t>
      </w:r>
      <w:r w:rsidR="003F2F01">
        <w:t>n</w:t>
      </w:r>
      <w:r w:rsidR="00820953">
        <w:t>d tools development</w:t>
      </w:r>
      <w:r w:rsidR="00731AF0">
        <w:t xml:space="preserve"> </w:t>
      </w:r>
      <w:r w:rsidR="00820953">
        <w:t xml:space="preserve">processes </w:t>
      </w:r>
      <w:r w:rsidR="00731AF0">
        <w:t>in the humanitarian system. Priority areas of engagement have been selected based on their system-wide relevance;</w:t>
      </w:r>
      <w:r w:rsidR="00731AF0" w:rsidRPr="00731AF0">
        <w:t xml:space="preserve"> </w:t>
      </w:r>
      <w:r w:rsidR="00731AF0">
        <w:t>potential impact at global and country level</w:t>
      </w:r>
      <w:r w:rsidR="00820953">
        <w:t>;</w:t>
      </w:r>
      <w:r w:rsidR="00731AF0">
        <w:t xml:space="preserve"> and </w:t>
      </w:r>
      <w:r w:rsidR="00731AF0" w:rsidRPr="001433B6">
        <w:t>value</w:t>
      </w:r>
      <w:proofErr w:type="gramStart"/>
      <w:r w:rsidR="00820953">
        <w:t xml:space="preserve">- </w:t>
      </w:r>
      <w:r w:rsidR="00731AF0" w:rsidRPr="001433B6">
        <w:t>add</w:t>
      </w:r>
      <w:proofErr w:type="gramEnd"/>
      <w:r w:rsidR="00820953">
        <w:t xml:space="preserve"> of</w:t>
      </w:r>
      <w:r w:rsidR="00731AF0" w:rsidRPr="001433B6">
        <w:t xml:space="preserve"> DRG engagement</w:t>
      </w:r>
      <w:r w:rsidR="00820953">
        <w:t>,</w:t>
      </w:r>
      <w:r w:rsidRPr="001433B6">
        <w:t xml:space="preserve"> </w:t>
      </w:r>
      <w:proofErr w:type="gramStart"/>
      <w:r w:rsidR="00731AF0">
        <w:t>in order to</w:t>
      </w:r>
      <w:proofErr w:type="gramEnd"/>
      <w:r w:rsidRPr="001433B6">
        <w:t xml:space="preserve"> maximize </w:t>
      </w:r>
      <w:r w:rsidR="00731AF0">
        <w:t>impact.</w:t>
      </w:r>
      <w:r w:rsidR="008D5708">
        <w:t xml:space="preserve"> </w:t>
      </w:r>
    </w:p>
    <w:p w14:paraId="5C017D72" w14:textId="7D77073E" w:rsidR="001433B6" w:rsidRDefault="003F2F01" w:rsidP="00915532">
      <w:r>
        <w:lastRenderedPageBreak/>
        <w:t>D</w:t>
      </w:r>
      <w:r w:rsidR="00820953">
        <w:t xml:space="preserve">ue to the nature of this work stream, </w:t>
      </w:r>
      <w:r>
        <w:t xml:space="preserve">in addition to the priorities set out below </w:t>
      </w:r>
      <w:r w:rsidR="00820953">
        <w:t>i</w:t>
      </w:r>
      <w:r w:rsidR="008D5708">
        <w:t xml:space="preserve">t is also important that this work stream is </w:t>
      </w:r>
      <w:r w:rsidR="008D5708" w:rsidRPr="00E52A6E">
        <w:t>responsive to any emerging opportunities</w:t>
      </w:r>
      <w:r w:rsidR="00820953" w:rsidRPr="00E52A6E">
        <w:t xml:space="preserve"> to contribute to broader processes and further embed disability inclusion int</w:t>
      </w:r>
      <w:r w:rsidRPr="00E52A6E">
        <w:t>o</w:t>
      </w:r>
      <w:r w:rsidR="00820953" w:rsidRPr="00E52A6E">
        <w:t xml:space="preserve"> key humanitarian processes</w:t>
      </w:r>
      <w:r w:rsidR="005F3B53" w:rsidRPr="00E52A6E">
        <w:t>.</w:t>
      </w:r>
    </w:p>
    <w:p w14:paraId="3F933932" w14:textId="7ADB1D7C" w:rsidR="00FA69AB" w:rsidRPr="00FA69AB" w:rsidRDefault="00FA69AB" w:rsidP="00915532">
      <w:pPr>
        <w:rPr>
          <w:u w:val="single"/>
        </w:rPr>
      </w:pPr>
      <w:r>
        <w:rPr>
          <w:u w:val="single"/>
        </w:rPr>
        <w:t>Mechanism for delivery</w:t>
      </w:r>
    </w:p>
    <w:p w14:paraId="2330F804" w14:textId="5E640EA8" w:rsidR="00CF06D1" w:rsidRDefault="00FA1F33" w:rsidP="00915532">
      <w:r>
        <w:t>This work stream will be</w:t>
      </w:r>
      <w:r w:rsidR="00F67D06">
        <w:t xml:space="preserve"> led by co-chairs,</w:t>
      </w:r>
      <w:r>
        <w:t xml:space="preserve"> </w:t>
      </w:r>
      <w:r w:rsidR="00F67D06">
        <w:t xml:space="preserve">with support from focal points </w:t>
      </w:r>
      <w:proofErr w:type="gramStart"/>
      <w:r w:rsidR="00F67D06">
        <w:t>where</w:t>
      </w:r>
      <w:proofErr w:type="gramEnd"/>
      <w:r w:rsidR="00F67D06">
        <w:t xml:space="preserve"> identified</w:t>
      </w:r>
      <w:r>
        <w:t xml:space="preserve">. Focal points will </w:t>
      </w:r>
      <w:r w:rsidR="00F67D06">
        <w:t xml:space="preserve">help </w:t>
      </w:r>
      <w:r>
        <w:t xml:space="preserve">determine, in consultation with DRG co-chairs, the most effective mechanism for facilitating DRG engagement. This may include establishment of time-bound working groups, </w:t>
      </w:r>
      <w:r w:rsidR="006F3464">
        <w:t xml:space="preserve">delivery of information/ consultation sessions and/ or linking identified DRG members with relevant expertise/ knowledge with external processes.  </w:t>
      </w:r>
    </w:p>
    <w:p w14:paraId="26BF65D9" w14:textId="538C362E" w:rsidR="007B255E" w:rsidRPr="00613EBF" w:rsidRDefault="007B255E" w:rsidP="00915532">
      <w:pPr>
        <w:rPr>
          <w:u w:val="single"/>
        </w:rPr>
      </w:pPr>
      <w:r w:rsidRPr="00613EBF">
        <w:rPr>
          <w:u w:val="single"/>
        </w:rPr>
        <w:t>Key priorities</w:t>
      </w:r>
      <w:r w:rsidR="00613EBF">
        <w:rPr>
          <w:u w:val="single"/>
        </w:rPr>
        <w:t>:</w:t>
      </w:r>
    </w:p>
    <w:p w14:paraId="265953C8" w14:textId="77777777" w:rsidR="007B255E" w:rsidRDefault="007B255E" w:rsidP="007B255E">
      <w:pPr>
        <w:pStyle w:val="ListParagraph"/>
        <w:numPr>
          <w:ilvl w:val="0"/>
          <w:numId w:val="1"/>
        </w:numPr>
      </w:pPr>
      <w:r>
        <w:t>Integrate disability inclusion in IASC processes and products</w:t>
      </w:r>
      <w:r w:rsidRPr="001433B6">
        <w:t xml:space="preserve"> </w:t>
      </w:r>
    </w:p>
    <w:p w14:paraId="09B608A1" w14:textId="580FCD85" w:rsidR="007B255E" w:rsidRDefault="007B255E" w:rsidP="007B255E">
      <w:pPr>
        <w:pStyle w:val="ListParagraph"/>
        <w:numPr>
          <w:ilvl w:val="1"/>
          <w:numId w:val="1"/>
        </w:numPr>
      </w:pPr>
      <w:r>
        <w:t>Where possible, contribute to conversations on how disability inclusion can be explicitly reflected in discussions and decision making in IASC processes. This includes sharing key messages in advance of relevant IASC meetings</w:t>
      </w:r>
    </w:p>
    <w:p w14:paraId="166961D3" w14:textId="1ACF3C48" w:rsidR="007B255E" w:rsidRDefault="007B255E" w:rsidP="007B255E">
      <w:pPr>
        <w:pStyle w:val="ListParagraph"/>
        <w:numPr>
          <w:ilvl w:val="1"/>
          <w:numId w:val="1"/>
        </w:numPr>
      </w:pPr>
      <w:r>
        <w:t>Review relevant new IASC products, such as tools and guidance</w:t>
      </w:r>
    </w:p>
    <w:p w14:paraId="2775ADE1" w14:textId="77777777" w:rsidR="007B255E" w:rsidRDefault="007B255E" w:rsidP="007B255E">
      <w:pPr>
        <w:pStyle w:val="ListParagraph"/>
        <w:numPr>
          <w:ilvl w:val="1"/>
          <w:numId w:val="1"/>
        </w:numPr>
      </w:pPr>
      <w:r>
        <w:t>Convene or participate in regular exchanges with other associated entities (Gender Reference Group, MHPSS Reference Group) to formulate joint messaging and identify other opportunities for collaboration</w:t>
      </w:r>
    </w:p>
    <w:p w14:paraId="37E737E3" w14:textId="24B4BC7A" w:rsidR="007B255E" w:rsidRDefault="007B255E" w:rsidP="007B255E">
      <w:pPr>
        <w:pStyle w:val="ListParagraph"/>
        <w:numPr>
          <w:ilvl w:val="0"/>
          <w:numId w:val="1"/>
        </w:numPr>
      </w:pPr>
      <w:r>
        <w:t>Coordinate a stock take</w:t>
      </w:r>
      <w:r w:rsidRPr="007B255E">
        <w:t xml:space="preserve"> </w:t>
      </w:r>
      <w:r>
        <w:t>of the IASC Guidelines on Inclusion of Persons with Disabilities in Humanitarian Action</w:t>
      </w:r>
      <w:r w:rsidR="00E05270">
        <w:t>, to identify progress made and remains gaps and challenges. Establish a time-bound advisory group to oversee the stock take and engage a consultant to support the work</w:t>
      </w:r>
    </w:p>
    <w:p w14:paraId="0EB34322" w14:textId="015A57A4" w:rsidR="00E05270" w:rsidRDefault="00E05270" w:rsidP="007B255E">
      <w:pPr>
        <w:pStyle w:val="ListParagraph"/>
        <w:numPr>
          <w:ilvl w:val="0"/>
          <w:numId w:val="1"/>
        </w:numPr>
      </w:pPr>
      <w:r>
        <w:t>Produce a report on the impact of funding cuts and policy shifts on the capacity of DRG members to deliver disability inclusive humanitarian action</w:t>
      </w:r>
    </w:p>
    <w:p w14:paraId="7EBD4798" w14:textId="5406F0E9" w:rsidR="00E05270" w:rsidRDefault="00E05270" w:rsidP="007B255E">
      <w:pPr>
        <w:pStyle w:val="ListParagraph"/>
        <w:numPr>
          <w:ilvl w:val="0"/>
          <w:numId w:val="1"/>
        </w:numPr>
      </w:pPr>
      <w:r>
        <w:t xml:space="preserve">Convene a dialogue with local and national OPDs on the </w:t>
      </w:r>
      <w:r w:rsidR="00206196">
        <w:t>H</w:t>
      </w:r>
      <w:r>
        <w:t xml:space="preserve">umanitarian </w:t>
      </w:r>
      <w:r w:rsidR="00206196">
        <w:t>R</w:t>
      </w:r>
      <w:r>
        <w:t xml:space="preserve">eset, with a view to identifying key actions needed to facilitate their participation in </w:t>
      </w:r>
      <w:r w:rsidR="00206196">
        <w:t>R</w:t>
      </w:r>
      <w:r>
        <w:t xml:space="preserve">eset-related </w:t>
      </w:r>
      <w:proofErr w:type="gramStart"/>
      <w:r>
        <w:t>decision making</w:t>
      </w:r>
      <w:proofErr w:type="gramEnd"/>
      <w:r>
        <w:t xml:space="preserve"> processes in countries. Use the outcomes from this dialogue as a basis for influencing </w:t>
      </w:r>
      <w:r w:rsidR="00206196">
        <w:t xml:space="preserve">localization efforts under the Humanitarian Reset </w:t>
      </w:r>
    </w:p>
    <w:p w14:paraId="463CE17B" w14:textId="376C808E" w:rsidR="00613EBF" w:rsidRDefault="00613EBF" w:rsidP="007B255E">
      <w:pPr>
        <w:pStyle w:val="ListParagraph"/>
        <w:numPr>
          <w:ilvl w:val="0"/>
          <w:numId w:val="1"/>
        </w:numPr>
      </w:pPr>
      <w:r>
        <w:t>Conduct a review of the impact of the Humanitarian Reset on disability inclusion in humanitarian action</w:t>
      </w:r>
    </w:p>
    <w:p w14:paraId="3FBDD8A1" w14:textId="77777777" w:rsidR="00D34B32" w:rsidRPr="001433B6" w:rsidRDefault="00D34B32" w:rsidP="00915532"/>
    <w:p w14:paraId="089DF26B" w14:textId="10B00E6B" w:rsidR="002F2265" w:rsidRDefault="002F2265" w:rsidP="00803BDB">
      <w:pPr>
        <w:rPr>
          <w:rFonts w:ascii="Arial Narrow" w:eastAsia="Calibri" w:hAnsi="Arial Narrow"/>
          <w:color w:val="44546A" w:themeColor="text2"/>
          <w:sz w:val="28"/>
          <w:szCs w:val="28"/>
          <w:lang w:val="en-GB"/>
        </w:rPr>
      </w:pPr>
      <w:bookmarkStart w:id="3" w:name="_Hlk42953344"/>
      <w:bookmarkEnd w:id="2"/>
      <w:r w:rsidRPr="008D3180">
        <w:rPr>
          <w:b/>
          <w:bCs/>
          <w:color w:val="44546A" w:themeColor="text2"/>
          <w:sz w:val="28"/>
          <w:szCs w:val="28"/>
        </w:rPr>
        <w:t xml:space="preserve">Work stream 3: </w:t>
      </w:r>
      <w:r w:rsidRPr="008D3180">
        <w:rPr>
          <w:rFonts w:ascii="Arial Narrow" w:eastAsia="Calibri" w:hAnsi="Arial Narrow"/>
          <w:color w:val="44546A" w:themeColor="text2"/>
          <w:sz w:val="28"/>
          <w:szCs w:val="28"/>
          <w:lang w:val="en-GB"/>
        </w:rPr>
        <w:t xml:space="preserve">Support </w:t>
      </w:r>
      <w:r w:rsidR="00E67387">
        <w:rPr>
          <w:rFonts w:ascii="Arial Narrow" w:eastAsia="Calibri" w:hAnsi="Arial Narrow"/>
          <w:color w:val="44546A" w:themeColor="text2"/>
          <w:sz w:val="28"/>
          <w:szCs w:val="28"/>
          <w:lang w:val="en-GB"/>
        </w:rPr>
        <w:t>participation and leadership</w:t>
      </w:r>
      <w:r w:rsidRPr="008D3180">
        <w:rPr>
          <w:rFonts w:ascii="Arial Narrow" w:eastAsia="Calibri" w:hAnsi="Arial Narrow"/>
          <w:color w:val="44546A" w:themeColor="text2"/>
          <w:sz w:val="28"/>
          <w:szCs w:val="28"/>
          <w:lang w:val="en-GB"/>
        </w:rPr>
        <w:t xml:space="preserve"> by OPDs in humanitarian action</w:t>
      </w:r>
    </w:p>
    <w:p w14:paraId="4DBA2DF3" w14:textId="23747FDA" w:rsidR="00AF6684" w:rsidRPr="008D3180" w:rsidRDefault="00D85676" w:rsidP="00803BDB">
      <w:pPr>
        <w:rPr>
          <w:b/>
          <w:bCs/>
          <w:color w:val="44546A" w:themeColor="text2"/>
          <w:sz w:val="28"/>
          <w:szCs w:val="28"/>
        </w:rPr>
      </w:pPr>
      <w:r>
        <w:rPr>
          <w:b/>
          <w:bCs/>
          <w:noProof/>
          <w:color w:val="44546A" w:themeColor="text2"/>
          <w:sz w:val="28"/>
          <w:szCs w:val="28"/>
        </w:rPr>
        <mc:AlternateContent>
          <mc:Choice Requires="wps">
            <w:drawing>
              <wp:anchor distT="0" distB="0" distL="114300" distR="114300" simplePos="0" relativeHeight="251658240" behindDoc="0" locked="0" layoutInCell="1" allowOverlap="1" wp14:anchorId="07031FE7" wp14:editId="42892C47">
                <wp:simplePos x="0" y="0"/>
                <wp:positionH relativeFrom="column">
                  <wp:posOffset>0</wp:posOffset>
                </wp:positionH>
                <wp:positionV relativeFrom="paragraph">
                  <wp:posOffset>40005</wp:posOffset>
                </wp:positionV>
                <wp:extent cx="8201025" cy="9525"/>
                <wp:effectExtent l="9525" t="7620" r="9525" b="11430"/>
                <wp:wrapNone/>
                <wp:docPr id="190960914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01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7418C7" id="_x0000_t32" coordsize="21600,21600" o:spt="32" o:oned="t" path="m,l21600,21600e" filled="f">
                <v:path arrowok="t" fillok="f" o:connecttype="none"/>
                <o:lock v:ext="edit" shapetype="t"/>
              </v:shapetype>
              <v:shape id="AutoShape 2" o:spid="_x0000_s1026" type="#_x0000_t32" style="position:absolute;margin-left:0;margin-top:3.15pt;width:645.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"/>
            </w:pict>
          </mc:Fallback>
        </mc:AlternateContent>
      </w:r>
    </w:p>
    <w:bookmarkEnd w:id="3"/>
    <w:p w14:paraId="5E3CACF4" w14:textId="05C08555" w:rsidR="003F2F01" w:rsidRDefault="003F2F01" w:rsidP="003F2F01">
      <w:pPr>
        <w:rPr>
          <w:u w:val="single"/>
        </w:rPr>
      </w:pPr>
      <w:r>
        <w:rPr>
          <w:u w:val="single"/>
        </w:rPr>
        <w:t>Objectives</w:t>
      </w:r>
    </w:p>
    <w:p w14:paraId="0C521601" w14:textId="2954FFF3" w:rsidR="00E52A6E" w:rsidRDefault="00E52A6E" w:rsidP="00E52A6E">
      <w:bookmarkStart w:id="4" w:name="_Hlk53061152"/>
      <w:r w:rsidRPr="00E52A6E">
        <w:lastRenderedPageBreak/>
        <w:t xml:space="preserve">The overall goal of workstream 3 is to increase </w:t>
      </w:r>
      <w:r w:rsidR="00E67387">
        <w:t>participation and leadership</w:t>
      </w:r>
      <w:r w:rsidRPr="00E52A6E">
        <w:t xml:space="preserve"> of OPD</w:t>
      </w:r>
      <w:r w:rsidR="00D70373">
        <w:t>s</w:t>
      </w:r>
      <w:r w:rsidRPr="00E52A6E">
        <w:t xml:space="preserve"> in humanitarian action </w:t>
      </w:r>
      <w:r w:rsidR="00E67387">
        <w:t>and</w:t>
      </w:r>
      <w:r w:rsidRPr="00E52A6E">
        <w:t xml:space="preserve"> to increase opportunities for partnerships between humanitarian actors and OPDs. </w:t>
      </w:r>
    </w:p>
    <w:p w14:paraId="378BB82F" w14:textId="578F52FB" w:rsidR="00ED34FC" w:rsidRPr="00E67387" w:rsidRDefault="00ED34FC" w:rsidP="00E67387">
      <w:r>
        <w:t>W</w:t>
      </w:r>
      <w:r w:rsidR="00E67387" w:rsidRPr="00E67387">
        <w:t>orkstream 3</w:t>
      </w:r>
      <w:r>
        <w:t xml:space="preserve"> will work towards this goal by</w:t>
      </w:r>
      <w:r w:rsidR="00E67387" w:rsidRPr="00E67387">
        <w:t xml:space="preserve"> </w:t>
      </w:r>
      <w:r w:rsidR="00206196">
        <w:t>enabling dialogue</w:t>
      </w:r>
      <w:r w:rsidR="00E67387" w:rsidRPr="00E67387">
        <w:t xml:space="preserve"> between OPDs and </w:t>
      </w:r>
      <w:proofErr w:type="gramStart"/>
      <w:r w:rsidR="00E67387" w:rsidRPr="00E67387">
        <w:t>humanitarian</w:t>
      </w:r>
      <w:proofErr w:type="gramEnd"/>
      <w:r w:rsidR="00206196">
        <w:t xml:space="preserve"> to exchange experience and learning and co-create concrete recommendations for advancing disability inclusive humanitarian action</w:t>
      </w:r>
      <w:r w:rsidR="00E67387" w:rsidRPr="00E67387">
        <w:t>.</w:t>
      </w:r>
      <w:r>
        <w:t xml:space="preserve"> </w:t>
      </w:r>
    </w:p>
    <w:p w14:paraId="28EC5C13" w14:textId="6AD2A62F" w:rsidR="00FA69AB" w:rsidRDefault="00FA69AB" w:rsidP="003F2F01">
      <w:pPr>
        <w:rPr>
          <w:u w:val="single"/>
        </w:rPr>
      </w:pPr>
      <w:r>
        <w:rPr>
          <w:u w:val="single"/>
        </w:rPr>
        <w:t>Mechanism for delivery</w:t>
      </w:r>
    </w:p>
    <w:p w14:paraId="25A3E7B2" w14:textId="58F88109" w:rsidR="00FA69AB" w:rsidRDefault="00FA69AB" w:rsidP="003F2F01">
      <w:r w:rsidRPr="004C1866">
        <w:t>This work stream is co</w:t>
      </w:r>
      <w:r>
        <w:t xml:space="preserve">ordinated by a dedicated working group, led by Maroua Ben Said, International Disability </w:t>
      </w:r>
      <w:proofErr w:type="gramStart"/>
      <w:r>
        <w:t>Alliance;</w:t>
      </w:r>
      <w:proofErr w:type="gramEnd"/>
      <w:r>
        <w:t xml:space="preserve"> and Marcie Roth, World Institute on Disability </w:t>
      </w:r>
    </w:p>
    <w:p w14:paraId="28615B19" w14:textId="50A1FDE4" w:rsidR="00A274D8" w:rsidRDefault="00041AB3" w:rsidP="003F2F01">
      <w:r>
        <w:t>The</w:t>
      </w:r>
      <w:r w:rsidR="00A274D8" w:rsidRPr="00A274D8">
        <w:t xml:space="preserve"> workstream proposes </w:t>
      </w:r>
      <w:proofErr w:type="gramStart"/>
      <w:r w:rsidR="00A274D8" w:rsidRPr="00A274D8">
        <w:t>to convene</w:t>
      </w:r>
      <w:proofErr w:type="gramEnd"/>
      <w:r w:rsidR="00A274D8" w:rsidRPr="00A274D8">
        <w:t xml:space="preserve"> one meeting approximately every six weeks.</w:t>
      </w:r>
    </w:p>
    <w:p w14:paraId="51458C62" w14:textId="5E2FF2EB" w:rsidR="00A274D8" w:rsidRDefault="00A274D8" w:rsidP="00A274D8">
      <w:r>
        <w:t>Topics will be:</w:t>
      </w:r>
    </w:p>
    <w:p w14:paraId="25D31894" w14:textId="1B901242" w:rsidR="00A274D8" w:rsidRDefault="00A274D8" w:rsidP="00041AB3">
      <w:pPr>
        <w:pStyle w:val="ListParagraph"/>
        <w:numPr>
          <w:ilvl w:val="0"/>
          <w:numId w:val="44"/>
        </w:numPr>
      </w:pPr>
      <w:r>
        <w:t>OPD-driven</w:t>
      </w:r>
    </w:p>
    <w:p w14:paraId="1B8BC3EF" w14:textId="6FD2FF5E" w:rsidR="00A274D8" w:rsidRDefault="00A274D8" w:rsidP="00041AB3">
      <w:pPr>
        <w:pStyle w:val="ListParagraph"/>
        <w:numPr>
          <w:ilvl w:val="0"/>
          <w:numId w:val="44"/>
        </w:numPr>
      </w:pPr>
      <w:r>
        <w:t>Aligned with localization and the humanitarian reset</w:t>
      </w:r>
    </w:p>
    <w:p w14:paraId="7E4250C7" w14:textId="1D91233D" w:rsidR="00A274D8" w:rsidRDefault="00A274D8" w:rsidP="00041AB3">
      <w:pPr>
        <w:pStyle w:val="ListParagraph"/>
        <w:numPr>
          <w:ilvl w:val="0"/>
          <w:numId w:val="44"/>
        </w:numPr>
      </w:pPr>
      <w:r>
        <w:t>Selected based on strategic relevance and emerging opportunities</w:t>
      </w:r>
    </w:p>
    <w:p w14:paraId="1920D4BC" w14:textId="4A14E826" w:rsidR="00A274D8" w:rsidRDefault="00A274D8" w:rsidP="00A274D8">
      <w:pPr>
        <w:pStyle w:val="ListParagraph"/>
        <w:numPr>
          <w:ilvl w:val="0"/>
          <w:numId w:val="44"/>
        </w:numPr>
      </w:pPr>
      <w:r>
        <w:t xml:space="preserve">Designed to </w:t>
      </w:r>
      <w:proofErr w:type="spellStart"/>
      <w:r>
        <w:t>maximise</w:t>
      </w:r>
      <w:proofErr w:type="spellEnd"/>
      <w:r>
        <w:t xml:space="preserve"> impact per engagement</w:t>
      </w:r>
    </w:p>
    <w:p w14:paraId="505E64B5" w14:textId="1B8DF53C" w:rsidR="00A274D8" w:rsidRPr="00FA69AB" w:rsidRDefault="00A274D8" w:rsidP="00A274D8">
      <w:r>
        <w:t>Critical topics for bi-monthly or quarterly meetings will be agreed in advance to facilitate structured dialogue between OPDs and humanitarian actors.</w:t>
      </w:r>
    </w:p>
    <w:p w14:paraId="58C3E714" w14:textId="30A444B3" w:rsidR="003F2F01" w:rsidRDefault="003F2F01" w:rsidP="003F2F01">
      <w:pPr>
        <w:rPr>
          <w:u w:val="single"/>
        </w:rPr>
      </w:pPr>
      <w:r>
        <w:rPr>
          <w:u w:val="single"/>
        </w:rPr>
        <w:t>Key priorities</w:t>
      </w:r>
    </w:p>
    <w:p w14:paraId="4F154C70" w14:textId="04365A5B" w:rsidR="00A274D8" w:rsidRPr="00041AB3" w:rsidRDefault="00A274D8" w:rsidP="00A274D8">
      <w:r w:rsidRPr="00041AB3">
        <w:t>1-Women with Disabilities in Humanitarian Leadership</w:t>
      </w:r>
    </w:p>
    <w:p w14:paraId="62B3D0F5" w14:textId="27111342" w:rsidR="00A274D8" w:rsidRPr="00041AB3" w:rsidRDefault="00A274D8" w:rsidP="00A274D8">
      <w:r w:rsidRPr="00041AB3">
        <w:t>Strengthening leadership, participation, and representation of women with disabilities within:</w:t>
      </w:r>
    </w:p>
    <w:p w14:paraId="4CC79107" w14:textId="0D519A43" w:rsidR="00A274D8" w:rsidRPr="00041AB3" w:rsidRDefault="00A274D8" w:rsidP="00041AB3">
      <w:pPr>
        <w:pStyle w:val="ListParagraph"/>
        <w:numPr>
          <w:ilvl w:val="0"/>
          <w:numId w:val="45"/>
        </w:numPr>
      </w:pPr>
      <w:r w:rsidRPr="00041AB3">
        <w:t>OPDs</w:t>
      </w:r>
    </w:p>
    <w:p w14:paraId="504B82C5" w14:textId="1E8FAF8F" w:rsidR="00A274D8" w:rsidRPr="00041AB3" w:rsidRDefault="00A274D8" w:rsidP="00041AB3">
      <w:pPr>
        <w:pStyle w:val="ListParagraph"/>
        <w:numPr>
          <w:ilvl w:val="0"/>
          <w:numId w:val="45"/>
        </w:numPr>
      </w:pPr>
      <w:r w:rsidRPr="00041AB3">
        <w:t>Humanitarian coordination bodies</w:t>
      </w:r>
    </w:p>
    <w:p w14:paraId="0AEC8752" w14:textId="343A9F65" w:rsidR="00A274D8" w:rsidRPr="00041AB3" w:rsidRDefault="00A274D8" w:rsidP="00041AB3">
      <w:pPr>
        <w:pStyle w:val="ListParagraph"/>
        <w:numPr>
          <w:ilvl w:val="0"/>
          <w:numId w:val="45"/>
        </w:numPr>
      </w:pPr>
      <w:r w:rsidRPr="00041AB3">
        <w:t>Committees and platforms</w:t>
      </w:r>
    </w:p>
    <w:p w14:paraId="2F1008DE" w14:textId="77777777" w:rsidR="00A274D8" w:rsidRPr="00041AB3" w:rsidRDefault="00A274D8" w:rsidP="00041AB3">
      <w:pPr>
        <w:pStyle w:val="ListParagraph"/>
        <w:numPr>
          <w:ilvl w:val="0"/>
          <w:numId w:val="45"/>
        </w:numPr>
      </w:pPr>
      <w:r w:rsidRPr="00041AB3">
        <w:t>Consultations and monitoring mechanisms</w:t>
      </w:r>
    </w:p>
    <w:p w14:paraId="1530E958" w14:textId="77777777" w:rsidR="00A274D8" w:rsidRPr="00A274D8" w:rsidRDefault="00A274D8" w:rsidP="00A274D8">
      <w:pPr>
        <w:rPr>
          <w:u w:val="single"/>
        </w:rPr>
      </w:pPr>
    </w:p>
    <w:p w14:paraId="373A497F" w14:textId="10748D65" w:rsidR="00A274D8" w:rsidRPr="00041AB3" w:rsidRDefault="00A274D8" w:rsidP="00A274D8">
      <w:r w:rsidRPr="00041AB3">
        <w:lastRenderedPageBreak/>
        <w:t>This includes advancing dialogue on how humanitarian systems can better integrate gender-disability intersectionality within localization processes.</w:t>
      </w:r>
    </w:p>
    <w:p w14:paraId="24DA51BB" w14:textId="6709EF2F" w:rsidR="00A274D8" w:rsidRPr="00041AB3" w:rsidRDefault="00A274D8" w:rsidP="00A274D8">
      <w:r w:rsidRPr="00041AB3">
        <w:t>2- Inclusion &amp; Protection in Humanitarian Action</w:t>
      </w:r>
    </w:p>
    <w:p w14:paraId="12CD8237" w14:textId="704B58DF" w:rsidR="00A274D8" w:rsidRPr="00041AB3" w:rsidRDefault="00A274D8" w:rsidP="00A274D8">
      <w:r w:rsidRPr="00041AB3">
        <w:t>Making visible — and addressing — the consequences of the invisibility of women with disabilities in humanitarian responses, particularly regarding:</w:t>
      </w:r>
    </w:p>
    <w:p w14:paraId="06370BCD" w14:textId="621CCD46" w:rsidR="00A274D8" w:rsidRPr="00041AB3" w:rsidRDefault="00A274D8" w:rsidP="00041AB3">
      <w:pPr>
        <w:pStyle w:val="ListParagraph"/>
        <w:numPr>
          <w:ilvl w:val="0"/>
          <w:numId w:val="47"/>
        </w:numPr>
      </w:pPr>
      <w:r w:rsidRPr="00041AB3">
        <w:t>Equitable access to services</w:t>
      </w:r>
    </w:p>
    <w:p w14:paraId="27D61F6E" w14:textId="21BFF1B1" w:rsidR="00A274D8" w:rsidRPr="00041AB3" w:rsidRDefault="00A274D8" w:rsidP="00041AB3">
      <w:pPr>
        <w:pStyle w:val="ListParagraph"/>
        <w:numPr>
          <w:ilvl w:val="0"/>
          <w:numId w:val="47"/>
        </w:numPr>
      </w:pPr>
      <w:r w:rsidRPr="00041AB3">
        <w:t>Violence prevention and GBV response</w:t>
      </w:r>
    </w:p>
    <w:p w14:paraId="4A5C1A33" w14:textId="7F0D9256" w:rsidR="00A274D8" w:rsidRPr="00041AB3" w:rsidRDefault="00A274D8" w:rsidP="00041AB3">
      <w:pPr>
        <w:pStyle w:val="ListParagraph"/>
        <w:numPr>
          <w:ilvl w:val="0"/>
          <w:numId w:val="47"/>
        </w:numPr>
      </w:pPr>
      <w:r w:rsidRPr="00041AB3">
        <w:t>Protection frameworks</w:t>
      </w:r>
    </w:p>
    <w:p w14:paraId="439519E4" w14:textId="266AF232" w:rsidR="00A274D8" w:rsidRPr="00041AB3" w:rsidRDefault="00A274D8" w:rsidP="00041AB3">
      <w:pPr>
        <w:pStyle w:val="ListParagraph"/>
        <w:numPr>
          <w:ilvl w:val="0"/>
          <w:numId w:val="47"/>
        </w:numPr>
      </w:pPr>
      <w:r w:rsidRPr="00041AB3">
        <w:t>Integration of disability rights in response planning</w:t>
      </w:r>
    </w:p>
    <w:p w14:paraId="59E1EB10" w14:textId="2D10BD58" w:rsidR="00A274D8" w:rsidRPr="00041AB3" w:rsidRDefault="00A274D8" w:rsidP="00A274D8">
      <w:r w:rsidRPr="00041AB3">
        <w:t>3- Knowledge &amp; Evidence Strengthening</w:t>
      </w:r>
    </w:p>
    <w:p w14:paraId="52E2DD28" w14:textId="621FD2DB" w:rsidR="00A274D8" w:rsidRPr="00041AB3" w:rsidRDefault="00A274D8" w:rsidP="00A274D8">
      <w:r w:rsidRPr="00041AB3">
        <w:t>Exploration of how evidence can strengthen OPD visibility and engagement in humanitarian mechanisms</w:t>
      </w:r>
    </w:p>
    <w:p w14:paraId="097C0E2D" w14:textId="0BC6D170" w:rsidR="00A274D8" w:rsidRDefault="00A274D8" w:rsidP="00206196">
      <w:pPr>
        <w:numPr>
          <w:ilvl w:val="0"/>
          <w:numId w:val="37"/>
        </w:numPr>
        <w:spacing w:after="0"/>
      </w:pPr>
      <w:r w:rsidRPr="00041AB3">
        <w:t>The workstream will primarily prioritize learning, exchange, and knowledge-sharing, rather than systematically producing advocacy products.</w:t>
      </w:r>
    </w:p>
    <w:p w14:paraId="49BC9460" w14:textId="51132453" w:rsidR="00206196" w:rsidRDefault="00206196" w:rsidP="00206196">
      <w:pPr>
        <w:numPr>
          <w:ilvl w:val="0"/>
          <w:numId w:val="37"/>
        </w:numPr>
        <w:spacing w:after="0" w:line="240" w:lineRule="auto"/>
      </w:pPr>
      <w:r>
        <w:t>Based on demand and capacity, facilitate consultation with OPDs on new humanitarian policy, strategy and tools</w:t>
      </w:r>
      <w:r w:rsidR="00D85676">
        <w:t>.</w:t>
      </w:r>
    </w:p>
    <w:p w14:paraId="1F0E3ABA" w14:textId="77777777" w:rsidR="009B0DDC" w:rsidRDefault="009B0DDC" w:rsidP="003F2F01">
      <w:pPr>
        <w:rPr>
          <w:u w:val="single"/>
        </w:rPr>
      </w:pPr>
    </w:p>
    <w:bookmarkEnd w:id="4"/>
    <w:p w14:paraId="6EFFE9BF" w14:textId="40D6CDC6" w:rsidR="00F7121B" w:rsidRDefault="00F7121B" w:rsidP="00F7121B">
      <w:pPr>
        <w:rPr>
          <w:rFonts w:ascii="Arial Narrow" w:eastAsia="Calibri" w:hAnsi="Arial Narrow"/>
          <w:color w:val="44546A" w:themeColor="text2"/>
          <w:sz w:val="28"/>
          <w:szCs w:val="28"/>
        </w:rPr>
      </w:pPr>
      <w:r w:rsidRPr="008D3180">
        <w:rPr>
          <w:b/>
          <w:bCs/>
          <w:color w:val="44546A" w:themeColor="text2"/>
          <w:sz w:val="28"/>
          <w:szCs w:val="28"/>
        </w:rPr>
        <w:t xml:space="preserve">Work stream </w:t>
      </w:r>
      <w:r>
        <w:rPr>
          <w:b/>
          <w:bCs/>
          <w:color w:val="44546A" w:themeColor="text2"/>
          <w:sz w:val="28"/>
          <w:szCs w:val="28"/>
        </w:rPr>
        <w:t>4</w:t>
      </w:r>
      <w:r w:rsidRPr="008D3180">
        <w:rPr>
          <w:b/>
          <w:bCs/>
          <w:color w:val="44546A" w:themeColor="text2"/>
          <w:sz w:val="28"/>
          <w:szCs w:val="28"/>
        </w:rPr>
        <w:t xml:space="preserve">: </w:t>
      </w:r>
      <w:r w:rsidRPr="00D5457E">
        <w:rPr>
          <w:rFonts w:ascii="Arial Narrow" w:eastAsia="Calibri" w:hAnsi="Arial Narrow"/>
          <w:color w:val="44546A" w:themeColor="text2"/>
          <w:sz w:val="28"/>
          <w:szCs w:val="28"/>
        </w:rPr>
        <w:t>S</w:t>
      </w:r>
      <w:r w:rsidR="00D5457E" w:rsidRPr="00D5457E">
        <w:rPr>
          <w:rFonts w:ascii="Arial Narrow" w:eastAsia="Calibri" w:hAnsi="Arial Narrow"/>
          <w:color w:val="44546A" w:themeColor="text2"/>
          <w:sz w:val="28"/>
          <w:szCs w:val="28"/>
        </w:rPr>
        <w:t>trengthen</w:t>
      </w:r>
      <w:r w:rsidRPr="00D5457E">
        <w:rPr>
          <w:rFonts w:ascii="Arial Narrow" w:eastAsia="Calibri" w:hAnsi="Arial Narrow"/>
          <w:color w:val="44546A" w:themeColor="text2"/>
          <w:sz w:val="28"/>
          <w:szCs w:val="28"/>
        </w:rPr>
        <w:t xml:space="preserve"> </w:t>
      </w:r>
      <w:r w:rsidR="00AF6684">
        <w:rPr>
          <w:rFonts w:ascii="Arial Narrow" w:eastAsia="Calibri" w:hAnsi="Arial Narrow"/>
          <w:color w:val="44546A" w:themeColor="text2"/>
          <w:sz w:val="28"/>
          <w:szCs w:val="28"/>
        </w:rPr>
        <w:t>c</w:t>
      </w:r>
      <w:r w:rsidRPr="00D5457E">
        <w:rPr>
          <w:rFonts w:ascii="Arial Narrow" w:eastAsia="Calibri" w:hAnsi="Arial Narrow"/>
          <w:color w:val="44546A" w:themeColor="text2"/>
          <w:sz w:val="28"/>
          <w:szCs w:val="28"/>
        </w:rPr>
        <w:t xml:space="preserve">oordination </w:t>
      </w:r>
      <w:r w:rsidR="00AF6684">
        <w:rPr>
          <w:rFonts w:ascii="Arial Narrow" w:eastAsia="Calibri" w:hAnsi="Arial Narrow"/>
          <w:color w:val="44546A" w:themeColor="text2"/>
          <w:sz w:val="28"/>
          <w:szCs w:val="28"/>
        </w:rPr>
        <w:t>m</w:t>
      </w:r>
      <w:r w:rsidRPr="00D5457E">
        <w:rPr>
          <w:rFonts w:ascii="Arial Narrow" w:eastAsia="Calibri" w:hAnsi="Arial Narrow"/>
          <w:color w:val="44546A" w:themeColor="text2"/>
          <w:sz w:val="28"/>
          <w:szCs w:val="28"/>
        </w:rPr>
        <w:t xml:space="preserve">echanisms for </w:t>
      </w:r>
      <w:r w:rsidR="00AF6684">
        <w:rPr>
          <w:rFonts w:ascii="Arial Narrow" w:eastAsia="Calibri" w:hAnsi="Arial Narrow"/>
          <w:color w:val="44546A" w:themeColor="text2"/>
          <w:sz w:val="28"/>
          <w:szCs w:val="28"/>
        </w:rPr>
        <w:t>d</w:t>
      </w:r>
      <w:r w:rsidRPr="00D5457E">
        <w:rPr>
          <w:rFonts w:ascii="Arial Narrow" w:eastAsia="Calibri" w:hAnsi="Arial Narrow"/>
          <w:color w:val="44546A" w:themeColor="text2"/>
          <w:sz w:val="28"/>
          <w:szCs w:val="28"/>
        </w:rPr>
        <w:t xml:space="preserve">isability </w:t>
      </w:r>
      <w:r w:rsidR="00AF6684">
        <w:rPr>
          <w:rFonts w:ascii="Arial Narrow" w:eastAsia="Calibri" w:hAnsi="Arial Narrow"/>
          <w:color w:val="44546A" w:themeColor="text2"/>
          <w:sz w:val="28"/>
          <w:szCs w:val="28"/>
        </w:rPr>
        <w:t>i</w:t>
      </w:r>
      <w:r w:rsidRPr="00D5457E">
        <w:rPr>
          <w:rFonts w:ascii="Arial Narrow" w:eastAsia="Calibri" w:hAnsi="Arial Narrow"/>
          <w:color w:val="44546A" w:themeColor="text2"/>
          <w:sz w:val="28"/>
          <w:szCs w:val="28"/>
        </w:rPr>
        <w:t xml:space="preserve">nclusion in </w:t>
      </w:r>
      <w:r w:rsidR="00AF6684">
        <w:rPr>
          <w:rFonts w:ascii="Arial Narrow" w:eastAsia="Calibri" w:hAnsi="Arial Narrow"/>
          <w:color w:val="44546A" w:themeColor="text2"/>
          <w:sz w:val="28"/>
          <w:szCs w:val="28"/>
        </w:rPr>
        <w:t>c</w:t>
      </w:r>
      <w:r w:rsidRPr="00D5457E">
        <w:rPr>
          <w:rFonts w:ascii="Arial Narrow" w:eastAsia="Calibri" w:hAnsi="Arial Narrow"/>
          <w:color w:val="44546A" w:themeColor="text2"/>
          <w:sz w:val="28"/>
          <w:szCs w:val="28"/>
        </w:rPr>
        <w:t>ountries</w:t>
      </w:r>
    </w:p>
    <w:p w14:paraId="70184EF5" w14:textId="097DF9D4" w:rsidR="00AF6684" w:rsidRPr="00D5457E" w:rsidRDefault="00D85676" w:rsidP="00F7121B">
      <w:pPr>
        <w:rPr>
          <w:rFonts w:ascii="Arial Narrow" w:eastAsia="Calibri" w:hAnsi="Arial Narrow"/>
          <w:color w:val="4472C4" w:themeColor="accent1"/>
          <w:sz w:val="28"/>
          <w:szCs w:val="28"/>
        </w:rPr>
      </w:pPr>
      <w:r>
        <w:rPr>
          <w:rFonts w:ascii="Arial Narrow" w:eastAsia="Calibri" w:hAnsi="Arial Narrow"/>
          <w:noProof/>
          <w:color w:val="4472C4" w:themeColor="accent1"/>
          <w:sz w:val="28"/>
          <w:szCs w:val="28"/>
        </w:rPr>
        <mc:AlternateContent>
          <mc:Choice Requires="wps">
            <w:drawing>
              <wp:anchor distT="0" distB="0" distL="114300" distR="114300" simplePos="0" relativeHeight="251659264" behindDoc="0" locked="0" layoutInCell="1" allowOverlap="1" wp14:anchorId="07031FE7" wp14:editId="45C09E19">
                <wp:simplePos x="0" y="0"/>
                <wp:positionH relativeFrom="column">
                  <wp:posOffset>-9525</wp:posOffset>
                </wp:positionH>
                <wp:positionV relativeFrom="paragraph">
                  <wp:posOffset>31115</wp:posOffset>
                </wp:positionV>
                <wp:extent cx="8201025" cy="9525"/>
                <wp:effectExtent l="9525" t="10795" r="9525" b="8255"/>
                <wp:wrapNone/>
                <wp:docPr id="73688597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01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F9BD90" id="AutoShape 3" o:spid="_x0000_s1026" type="#_x0000_t32" style="position:absolute;margin-left:-.75pt;margin-top:2.45pt;width:645.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"/>
            </w:pict>
          </mc:Fallback>
        </mc:AlternateContent>
      </w:r>
    </w:p>
    <w:p w14:paraId="2B993A5B" w14:textId="6AB72411" w:rsidR="00F7121B" w:rsidRDefault="00F7121B" w:rsidP="00F7121B">
      <w:pPr>
        <w:rPr>
          <w:u w:val="single"/>
        </w:rPr>
      </w:pPr>
      <w:r>
        <w:rPr>
          <w:u w:val="single"/>
        </w:rPr>
        <w:t>Objectives</w:t>
      </w:r>
    </w:p>
    <w:p w14:paraId="5CBB6E21" w14:textId="13C4552A" w:rsidR="00F7121B" w:rsidRDefault="00F7121B" w:rsidP="00F7121B">
      <w:r w:rsidRPr="00F7121B">
        <w:t xml:space="preserve">This work stream aims to provide a global platform to support </w:t>
      </w:r>
      <w:r w:rsidR="00895D23">
        <w:t>structures</w:t>
      </w:r>
      <w:r w:rsidRPr="00F7121B">
        <w:t xml:space="preserve"> in place at country level to coordinate disability inclusion in humanitarian action. These often take the form of working groups bringing together local OPDs, NGOs and UN entities to work together on strengthening disability inclusion in the response.</w:t>
      </w:r>
    </w:p>
    <w:p w14:paraId="0BD7BD8D" w14:textId="77777777" w:rsidR="00FA69AB" w:rsidRPr="00FA69AB" w:rsidRDefault="00FA69AB" w:rsidP="00FA69AB">
      <w:pPr>
        <w:rPr>
          <w:u w:val="single"/>
        </w:rPr>
      </w:pPr>
      <w:r>
        <w:rPr>
          <w:u w:val="single"/>
        </w:rPr>
        <w:t>Mechanism for delivery</w:t>
      </w:r>
    </w:p>
    <w:p w14:paraId="1BEF364E" w14:textId="7C164CA2" w:rsidR="00FA69AB" w:rsidRPr="00FA69AB" w:rsidRDefault="00FA69AB" w:rsidP="00F7121B">
      <w:r>
        <w:t>This work stream will be led by co-chairs, with a view to acquiring resources to put in place more su</w:t>
      </w:r>
      <w:r w:rsidR="00895D23">
        <w:t>stained</w:t>
      </w:r>
      <w:r>
        <w:t xml:space="preserve"> </w:t>
      </w:r>
      <w:r w:rsidR="00895D23">
        <w:t>mechanisms for delivering on key priorities</w:t>
      </w:r>
      <w:r>
        <w:t xml:space="preserve">, such as a dedicated community of practice.  </w:t>
      </w:r>
    </w:p>
    <w:p w14:paraId="56C148DF" w14:textId="507B0EAF" w:rsidR="00F7121B" w:rsidRDefault="00F7121B" w:rsidP="00F7121B">
      <w:pPr>
        <w:rPr>
          <w:u w:val="single"/>
        </w:rPr>
      </w:pPr>
      <w:r w:rsidRPr="00206196">
        <w:rPr>
          <w:u w:val="single"/>
        </w:rPr>
        <w:lastRenderedPageBreak/>
        <w:t>Key priorities:</w:t>
      </w:r>
    </w:p>
    <w:p w14:paraId="7EA00233" w14:textId="5D193434" w:rsidR="00AF6684" w:rsidRDefault="00206196" w:rsidP="00AF6684">
      <w:pPr>
        <w:pStyle w:val="ListParagraph"/>
        <w:numPr>
          <w:ilvl w:val="0"/>
          <w:numId w:val="43"/>
        </w:numPr>
      </w:pPr>
      <w:r>
        <w:t>D</w:t>
      </w:r>
      <w:r w:rsidR="00AF6684">
        <w:t>isseminate</w:t>
      </w:r>
      <w:r>
        <w:t xml:space="preserve"> key learning from discussions in the community of practice</w:t>
      </w:r>
      <w:r w:rsidR="00AF6684" w:rsidRPr="00AF6684">
        <w:t xml:space="preserve"> </w:t>
      </w:r>
      <w:r w:rsidR="00AF6684">
        <w:t>for country level coordination</w:t>
      </w:r>
      <w:r w:rsidR="00895D23">
        <w:t xml:space="preserve"> on disability inclusion</w:t>
      </w:r>
      <w:r>
        <w:t>, for dissemination among disability and humanitarian networks</w:t>
      </w:r>
    </w:p>
    <w:p w14:paraId="757270F6" w14:textId="6F7704B6" w:rsidR="009B0DDC" w:rsidRDefault="00206196" w:rsidP="00AF6684">
      <w:pPr>
        <w:pStyle w:val="ListParagraph"/>
        <w:numPr>
          <w:ilvl w:val="0"/>
          <w:numId w:val="43"/>
        </w:numPr>
      </w:pPr>
      <w:r>
        <w:t>Develop a resource repository</w:t>
      </w:r>
      <w:r w:rsidR="00AF6684">
        <w:t xml:space="preserve"> </w:t>
      </w:r>
      <w:r>
        <w:t>for country level mechanisms for coordination on disability inclusion in humanitarian response</w:t>
      </w:r>
    </w:p>
    <w:p w14:paraId="6B7284A3" w14:textId="347C1A67" w:rsidR="00FA69AB" w:rsidRDefault="00FA69AB" w:rsidP="00AF6684">
      <w:pPr>
        <w:pStyle w:val="ListParagraph"/>
        <w:numPr>
          <w:ilvl w:val="0"/>
          <w:numId w:val="43"/>
        </w:numPr>
      </w:pPr>
      <w:r>
        <w:t xml:space="preserve">Establish an ongoing community of </w:t>
      </w:r>
      <w:proofErr w:type="gramStart"/>
      <w:r>
        <w:t>practice</w:t>
      </w:r>
      <w:proofErr w:type="gramEnd"/>
      <w:r>
        <w:t xml:space="preserve"> </w:t>
      </w:r>
      <w:r w:rsidR="00895D23">
        <w:t>to bring together members of country level mechanisms for coordination on disability inclusion, for joint learning and exchange</w:t>
      </w:r>
    </w:p>
    <w:p w14:paraId="20BFC8FB" w14:textId="374814AC" w:rsidR="005F1375" w:rsidRDefault="005F1375" w:rsidP="00AF6684">
      <w:pPr>
        <w:pStyle w:val="ListParagraph"/>
        <w:numPr>
          <w:ilvl w:val="0"/>
          <w:numId w:val="43"/>
        </w:numPr>
      </w:pPr>
      <w:r>
        <w:t xml:space="preserve">Advance disability inclusion in the </w:t>
      </w:r>
      <w:r w:rsidR="00895D23">
        <w:t xml:space="preserve">Humanitarian </w:t>
      </w:r>
      <w:proofErr w:type="spellStart"/>
      <w:r w:rsidR="00895D23">
        <w:t>Programme</w:t>
      </w:r>
      <w:proofErr w:type="spellEnd"/>
      <w:r w:rsidR="00895D23">
        <w:t xml:space="preserve"> Cycle (</w:t>
      </w:r>
      <w:r>
        <w:t>HPC</w:t>
      </w:r>
      <w:r w:rsidR="00895D23">
        <w:t>)</w:t>
      </w:r>
      <w:r>
        <w:t>, including through engagement with relevant actors</w:t>
      </w:r>
    </w:p>
    <w:p w14:paraId="4A2CEC54" w14:textId="7C229C5E" w:rsidR="009B0DDC" w:rsidRDefault="009B0DDC" w:rsidP="00D70373">
      <w:pPr>
        <w:pBdr>
          <w:bottom w:val="single" w:sz="4" w:space="1" w:color="auto"/>
        </w:pBdr>
        <w:rPr>
          <w:b/>
          <w:bCs/>
          <w:color w:val="44546A" w:themeColor="text2"/>
          <w:sz w:val="28"/>
          <w:szCs w:val="28"/>
        </w:rPr>
      </w:pPr>
    </w:p>
    <w:p w14:paraId="26F0059F" w14:textId="7427582F" w:rsidR="00D70373" w:rsidRPr="00D70373" w:rsidRDefault="00D70373" w:rsidP="00D70373">
      <w:pPr>
        <w:pBdr>
          <w:bottom w:val="single" w:sz="4" w:space="1" w:color="auto"/>
        </w:pBdr>
        <w:rPr>
          <w:b/>
          <w:bCs/>
          <w:color w:val="44546A" w:themeColor="text2"/>
          <w:sz w:val="28"/>
          <w:szCs w:val="28"/>
        </w:rPr>
      </w:pPr>
      <w:r>
        <w:rPr>
          <w:b/>
          <w:bCs/>
          <w:color w:val="44546A" w:themeColor="text2"/>
          <w:sz w:val="28"/>
          <w:szCs w:val="28"/>
        </w:rPr>
        <w:t>Role of DRG co-chairs</w:t>
      </w:r>
      <w:r w:rsidR="00987AE4" w:rsidRPr="008D3180">
        <w:rPr>
          <w:b/>
          <w:bCs/>
          <w:color w:val="44546A" w:themeColor="text2"/>
          <w:sz w:val="28"/>
          <w:szCs w:val="28"/>
        </w:rPr>
        <w:t xml:space="preserve"> </w:t>
      </w:r>
    </w:p>
    <w:p w14:paraId="47CD0499" w14:textId="71C667DF" w:rsidR="00D70373" w:rsidRDefault="009E0050" w:rsidP="00987AE4">
      <w:r>
        <w:t>The role of DRG co-chairs is to provide leadership and support to delivery of the DRG workplan, including through:</w:t>
      </w:r>
    </w:p>
    <w:p w14:paraId="548FE02B" w14:textId="0C18FAEB" w:rsidR="00D70373" w:rsidRDefault="009E0050" w:rsidP="00D70373">
      <w:pPr>
        <w:pStyle w:val="ListParagraph"/>
        <w:numPr>
          <w:ilvl w:val="0"/>
          <w:numId w:val="34"/>
        </w:numPr>
      </w:pPr>
      <w:r>
        <w:t xml:space="preserve">Promoting coordination between working group leads/ focal points and identifying synergies across the work plan </w:t>
      </w:r>
    </w:p>
    <w:p w14:paraId="10A5D405" w14:textId="355EC983" w:rsidR="005C17F0" w:rsidRDefault="005C17F0" w:rsidP="00D70373">
      <w:pPr>
        <w:pStyle w:val="ListParagraph"/>
        <w:numPr>
          <w:ilvl w:val="0"/>
          <w:numId w:val="34"/>
        </w:numPr>
      </w:pPr>
      <w:r>
        <w:t xml:space="preserve">Organizing monthly DRG meetings, including </w:t>
      </w:r>
      <w:proofErr w:type="gramStart"/>
      <w:r>
        <w:t>to identify</w:t>
      </w:r>
      <w:proofErr w:type="gramEnd"/>
      <w:r>
        <w:t xml:space="preserve"> topics of interest to members and engaging speakers.</w:t>
      </w:r>
      <w:r w:rsidR="00A540D5">
        <w:t xml:space="preserve"> Facilitating a space in monthly meetings for members to exchange views and share experiences </w:t>
      </w:r>
    </w:p>
    <w:p w14:paraId="1BFCB015" w14:textId="10656CA7" w:rsidR="004A4704" w:rsidRDefault="004A4704" w:rsidP="00D70373">
      <w:pPr>
        <w:pStyle w:val="ListParagraph"/>
        <w:numPr>
          <w:ilvl w:val="0"/>
          <w:numId w:val="34"/>
        </w:numPr>
      </w:pPr>
      <w:r>
        <w:t xml:space="preserve">Convening an annual meeting to take stock of </w:t>
      </w:r>
      <w:r w:rsidR="00E37C5A">
        <w:t>progress made and agree on strategic priorities for the Group</w:t>
      </w:r>
    </w:p>
    <w:p w14:paraId="38F282DF" w14:textId="785D1D71" w:rsidR="00D70373" w:rsidRDefault="00AF6684" w:rsidP="00D70373">
      <w:pPr>
        <w:pStyle w:val="ListParagraph"/>
        <w:numPr>
          <w:ilvl w:val="0"/>
          <w:numId w:val="34"/>
        </w:numPr>
      </w:pPr>
      <w:r>
        <w:t>Managing q</w:t>
      </w:r>
      <w:r w:rsidR="00D70373">
        <w:t>uality assurance</w:t>
      </w:r>
      <w:r w:rsidR="009E0050">
        <w:t xml:space="preserve"> of DRG products, including review of products that will be branded with the DRG logo</w:t>
      </w:r>
    </w:p>
    <w:p w14:paraId="0ACDB9C2" w14:textId="1075F839" w:rsidR="005342DE" w:rsidRDefault="005C17F0" w:rsidP="001A6529">
      <w:pPr>
        <w:pStyle w:val="ListParagraph"/>
        <w:numPr>
          <w:ilvl w:val="0"/>
          <w:numId w:val="34"/>
        </w:numPr>
      </w:pPr>
      <w:r>
        <w:t xml:space="preserve">Designing and maintaining mechanisms for meaningful and active participation by DRG members. This may include </w:t>
      </w:r>
      <w:r w:rsidR="004B29B4">
        <w:t xml:space="preserve">maintaining a menu of options for member contributions, </w:t>
      </w:r>
      <w:r w:rsidR="00A540D5">
        <w:t xml:space="preserve">establishing regional sub-networks, </w:t>
      </w:r>
      <w:r w:rsidR="004B29B4">
        <w:t>depending on consultation with members</w:t>
      </w:r>
    </w:p>
    <w:p w14:paraId="66EE0467" w14:textId="18C05117" w:rsidR="00DC2E31" w:rsidRDefault="00DC2E31" w:rsidP="001A6529">
      <w:pPr>
        <w:pStyle w:val="ListParagraph"/>
        <w:numPr>
          <w:ilvl w:val="0"/>
          <w:numId w:val="34"/>
        </w:numPr>
      </w:pPr>
      <w:r>
        <w:t xml:space="preserve">Ensuring that the DRG website is maintained as a space for </w:t>
      </w:r>
      <w:proofErr w:type="gramStart"/>
      <w:r>
        <w:t>sharing of</w:t>
      </w:r>
      <w:proofErr w:type="gramEnd"/>
      <w:r>
        <w:t xml:space="preserve"> resources and for connecting DRG members</w:t>
      </w:r>
    </w:p>
    <w:p w14:paraId="7F817C7B" w14:textId="24F3A38B" w:rsidR="00DC2E31" w:rsidRDefault="00DC2E31" w:rsidP="001A6529">
      <w:pPr>
        <w:pStyle w:val="ListParagraph"/>
        <w:numPr>
          <w:ilvl w:val="0"/>
          <w:numId w:val="34"/>
        </w:numPr>
      </w:pPr>
      <w:r>
        <w:t>Ensuring that the monthly DRG newsletter is developed and disseminated as a product for information share among disability and humanitarian actors</w:t>
      </w:r>
    </w:p>
    <w:p w14:paraId="6E161912" w14:textId="273F5E54" w:rsidR="00D70373" w:rsidRDefault="009E0050" w:rsidP="00F63BF9">
      <w:pPr>
        <w:pStyle w:val="ListParagraph"/>
        <w:numPr>
          <w:ilvl w:val="0"/>
          <w:numId w:val="34"/>
        </w:numPr>
      </w:pPr>
      <w:r>
        <w:t>Organizing e</w:t>
      </w:r>
      <w:r w:rsidR="00D70373">
        <w:t>vents</w:t>
      </w:r>
      <w:r>
        <w:t xml:space="preserve"> </w:t>
      </w:r>
      <w:r w:rsidR="00F63BF9">
        <w:t xml:space="preserve">and other communications </w:t>
      </w:r>
      <w:r>
        <w:t>t</w:t>
      </w:r>
      <w:r w:rsidR="00F63BF9">
        <w:t>o</w:t>
      </w:r>
      <w:r>
        <w:t xml:space="preserve"> advance the mandate of the DRG </w:t>
      </w:r>
    </w:p>
    <w:p w14:paraId="7CEF1049" w14:textId="726D63D8" w:rsidR="00E05270" w:rsidRDefault="00E05270" w:rsidP="00AF6684">
      <w:pPr>
        <w:pStyle w:val="ListParagraph"/>
        <w:numPr>
          <w:ilvl w:val="0"/>
          <w:numId w:val="34"/>
        </w:numPr>
      </w:pPr>
      <w:r>
        <w:t>Lead</w:t>
      </w:r>
      <w:r w:rsidR="00AF6684">
        <w:t>ing</w:t>
      </w:r>
      <w:r>
        <w:t xml:space="preserve"> o</w:t>
      </w:r>
      <w:r w:rsidRPr="00E05270">
        <w:t>ngoing engagement with members states and donors</w:t>
      </w:r>
      <w:r w:rsidR="00AF6684">
        <w:t>, including by participating in meetings of the Geneva-based Group of Friends on disability inclusive humanitarian action, and</w:t>
      </w:r>
      <w:r w:rsidR="00AF6684" w:rsidRPr="00AF6684">
        <w:t xml:space="preserve"> through timely and proactive outreach to key donors</w:t>
      </w:r>
    </w:p>
    <w:p w14:paraId="7A50C391" w14:textId="6F2ADD94" w:rsidR="00E05270" w:rsidRDefault="00E05270" w:rsidP="00E05270">
      <w:pPr>
        <w:pStyle w:val="ListParagraph"/>
        <w:numPr>
          <w:ilvl w:val="1"/>
          <w:numId w:val="1"/>
        </w:numPr>
      </w:pPr>
      <w:r>
        <w:t>Keep member states informed of developments regarding disability inclusive humanitarian action</w:t>
      </w:r>
    </w:p>
    <w:p w14:paraId="076B860B" w14:textId="5D378C2E" w:rsidR="00E05270" w:rsidRDefault="00E05270" w:rsidP="00E05270">
      <w:pPr>
        <w:pStyle w:val="ListParagraph"/>
        <w:numPr>
          <w:ilvl w:val="1"/>
          <w:numId w:val="1"/>
        </w:numPr>
      </w:pPr>
      <w:r>
        <w:t xml:space="preserve">Explore opportunities for engagement on shared policy concerns/ commitments </w:t>
      </w:r>
    </w:p>
    <w:p w14:paraId="43020AEB" w14:textId="77777777" w:rsidR="00E05270" w:rsidRDefault="00E05270" w:rsidP="00E05270">
      <w:pPr>
        <w:pStyle w:val="ListParagraph"/>
        <w:numPr>
          <w:ilvl w:val="1"/>
          <w:numId w:val="1"/>
        </w:numPr>
      </w:pPr>
      <w:r>
        <w:t>Identify any fundraising opportunities to support DRG activities</w:t>
      </w:r>
    </w:p>
    <w:p w14:paraId="4069B8AE" w14:textId="0310DD60" w:rsidR="00E05270" w:rsidRDefault="00E05270" w:rsidP="00E05270">
      <w:pPr>
        <w:pStyle w:val="ListParagraph"/>
        <w:numPr>
          <w:ilvl w:val="0"/>
          <w:numId w:val="1"/>
        </w:numPr>
        <w:rPr>
          <w:rFonts w:eastAsiaTheme="minorEastAsia" w:cstheme="minorHAnsi"/>
          <w:lang w:eastAsia="zh-CN"/>
        </w:rPr>
      </w:pPr>
      <w:r>
        <w:rPr>
          <w:rFonts w:eastAsiaTheme="minorEastAsia" w:cstheme="minorHAnsi"/>
          <w:lang w:eastAsia="zh-CN"/>
        </w:rPr>
        <w:t>Coordinat</w:t>
      </w:r>
      <w:r w:rsidR="00AF6684">
        <w:rPr>
          <w:rFonts w:eastAsiaTheme="minorEastAsia" w:cstheme="minorHAnsi"/>
          <w:lang w:eastAsia="zh-CN"/>
        </w:rPr>
        <w:t>ing</w:t>
      </w:r>
      <w:r>
        <w:rPr>
          <w:rFonts w:eastAsiaTheme="minorEastAsia" w:cstheme="minorHAnsi"/>
          <w:lang w:eastAsia="zh-CN"/>
        </w:rPr>
        <w:t xml:space="preserve"> DRG participation at Humanitarian Networks and Partnerships Week (HNPW) and other humanitarian forums to s</w:t>
      </w:r>
      <w:r w:rsidRPr="00E05270">
        <w:rPr>
          <w:rFonts w:eastAsiaTheme="minorEastAsia" w:cstheme="minorHAnsi"/>
          <w:lang w:eastAsia="zh-CN"/>
        </w:rPr>
        <w:t>ensitize humanitarian actors on disability inclusion and resources available to support their work</w:t>
      </w:r>
    </w:p>
    <w:p w14:paraId="5798F5A3" w14:textId="093BBA10" w:rsidR="00E05270" w:rsidRDefault="00E05270" w:rsidP="00E05270">
      <w:pPr>
        <w:pStyle w:val="ListParagraph"/>
        <w:numPr>
          <w:ilvl w:val="0"/>
          <w:numId w:val="1"/>
        </w:numPr>
        <w:rPr>
          <w:rFonts w:eastAsiaTheme="minorEastAsia" w:cstheme="minorHAnsi"/>
          <w:lang w:eastAsia="zh-CN"/>
        </w:rPr>
      </w:pPr>
      <w:r>
        <w:rPr>
          <w:rFonts w:eastAsiaTheme="minorEastAsia" w:cstheme="minorHAnsi"/>
          <w:lang w:eastAsia="zh-CN"/>
        </w:rPr>
        <w:lastRenderedPageBreak/>
        <w:t>Coordinat</w:t>
      </w:r>
      <w:r w:rsidR="00AF6684">
        <w:rPr>
          <w:rFonts w:eastAsiaTheme="minorEastAsia" w:cstheme="minorHAnsi"/>
          <w:lang w:eastAsia="zh-CN"/>
        </w:rPr>
        <w:t>ing DRG</w:t>
      </w:r>
      <w:r>
        <w:rPr>
          <w:rFonts w:eastAsiaTheme="minorEastAsia" w:cstheme="minorHAnsi"/>
          <w:lang w:eastAsia="zh-CN"/>
        </w:rPr>
        <w:t xml:space="preserve"> p</w:t>
      </w:r>
      <w:r w:rsidRPr="00E05270">
        <w:rPr>
          <w:rFonts w:eastAsiaTheme="minorEastAsia" w:cstheme="minorHAnsi"/>
          <w:lang w:eastAsia="zh-CN"/>
        </w:rPr>
        <w:t>articipation at Conference of States Parties (</w:t>
      </w:r>
      <w:proofErr w:type="spellStart"/>
      <w:r w:rsidRPr="00E05270">
        <w:rPr>
          <w:rFonts w:eastAsiaTheme="minorEastAsia" w:cstheme="minorHAnsi"/>
          <w:lang w:eastAsia="zh-CN"/>
        </w:rPr>
        <w:t>CoSP</w:t>
      </w:r>
      <w:proofErr w:type="spellEnd"/>
      <w:r w:rsidRPr="00E05270">
        <w:rPr>
          <w:rFonts w:eastAsiaTheme="minorEastAsia" w:cstheme="minorHAnsi"/>
          <w:lang w:eastAsia="zh-CN"/>
        </w:rPr>
        <w:t xml:space="preserve">) to the CRPD and other disability rights- related </w:t>
      </w:r>
      <w:proofErr w:type="gramStart"/>
      <w:r w:rsidRPr="00E05270">
        <w:rPr>
          <w:rFonts w:eastAsiaTheme="minorEastAsia" w:cstheme="minorHAnsi"/>
          <w:lang w:eastAsia="zh-CN"/>
        </w:rPr>
        <w:t>events</w:t>
      </w:r>
      <w:r w:rsidRPr="00E05270">
        <w:t xml:space="preserve"> </w:t>
      </w:r>
      <w:r>
        <w:rPr>
          <w:rFonts w:eastAsiaTheme="minorEastAsia" w:cstheme="minorHAnsi"/>
          <w:lang w:eastAsia="zh-CN"/>
        </w:rPr>
        <w:t xml:space="preserve"> to</w:t>
      </w:r>
      <w:proofErr w:type="gramEnd"/>
      <w:r>
        <w:rPr>
          <w:rFonts w:eastAsiaTheme="minorEastAsia" w:cstheme="minorHAnsi"/>
          <w:lang w:eastAsia="zh-CN"/>
        </w:rPr>
        <w:t xml:space="preserve"> s</w:t>
      </w:r>
      <w:r w:rsidRPr="00E05270">
        <w:rPr>
          <w:rFonts w:eastAsiaTheme="minorEastAsia" w:cstheme="minorHAnsi"/>
          <w:lang w:eastAsia="zh-CN"/>
        </w:rPr>
        <w:t xml:space="preserve">ensitize states, OPDs and disability- focused organizations </w:t>
      </w:r>
      <w:proofErr w:type="gramStart"/>
      <w:r w:rsidRPr="00E05270">
        <w:rPr>
          <w:rFonts w:eastAsiaTheme="minorEastAsia" w:cstheme="minorHAnsi"/>
          <w:lang w:eastAsia="zh-CN"/>
        </w:rPr>
        <w:t>on the situation of</w:t>
      </w:r>
      <w:proofErr w:type="gramEnd"/>
      <w:r w:rsidRPr="00E05270">
        <w:rPr>
          <w:rFonts w:eastAsiaTheme="minorEastAsia" w:cstheme="minorHAnsi"/>
          <w:lang w:eastAsia="zh-CN"/>
        </w:rPr>
        <w:t xml:space="preserve"> persons with disabilities in humanitarian contexts and engage these actors in promoting the rights of persons with disabilities affected by humanitarian emergencie</w:t>
      </w:r>
      <w:r>
        <w:rPr>
          <w:rFonts w:eastAsiaTheme="minorEastAsia" w:cstheme="minorHAnsi"/>
          <w:lang w:eastAsia="zh-CN"/>
        </w:rPr>
        <w:t>s</w:t>
      </w:r>
    </w:p>
    <w:p w14:paraId="343CC91F" w14:textId="77777777" w:rsidR="00AF6684" w:rsidRDefault="00AF6684" w:rsidP="00AF6684">
      <w:pPr>
        <w:pStyle w:val="ListParagraph"/>
        <w:numPr>
          <w:ilvl w:val="0"/>
          <w:numId w:val="1"/>
        </w:numPr>
      </w:pPr>
      <w:r>
        <w:t xml:space="preserve">Strategic communication with other actors in the humanitarian system to ensure that the DRG work plan can be implemented effectively and </w:t>
      </w:r>
      <w:proofErr w:type="gramStart"/>
      <w:r>
        <w:t>is connected with</w:t>
      </w:r>
      <w:proofErr w:type="gramEnd"/>
      <w:r>
        <w:t xml:space="preserve"> broader system- wide processes</w:t>
      </w:r>
    </w:p>
    <w:p w14:paraId="1AFC7D96" w14:textId="77777777" w:rsidR="00AF6684" w:rsidRDefault="00AF6684" w:rsidP="00AF6684">
      <w:pPr>
        <w:pStyle w:val="ListParagraph"/>
        <w:numPr>
          <w:ilvl w:val="0"/>
          <w:numId w:val="1"/>
        </w:numPr>
      </w:pPr>
      <w:r>
        <w:t xml:space="preserve">Arranging opportunities for engagement with other networks to promote cross learning and exchange. This may include exchanges </w:t>
      </w:r>
      <w:proofErr w:type="gramStart"/>
      <w:r>
        <w:t>to</w:t>
      </w:r>
      <w:proofErr w:type="gramEnd"/>
      <w:r>
        <w:t xml:space="preserve"> </w:t>
      </w:r>
      <w:proofErr w:type="gramStart"/>
      <w:r>
        <w:t>share experience</w:t>
      </w:r>
      <w:proofErr w:type="gramEnd"/>
      <w:r>
        <w:t xml:space="preserve"> with networks such as climate actors and emergency responders</w:t>
      </w:r>
    </w:p>
    <w:p w14:paraId="1FEF0302" w14:textId="66CB589B" w:rsidR="00FD1C79" w:rsidRDefault="00FD1C79" w:rsidP="00AF6684">
      <w:pPr>
        <w:pStyle w:val="ListParagraph"/>
        <w:numPr>
          <w:ilvl w:val="0"/>
          <w:numId w:val="1"/>
        </w:numPr>
      </w:pPr>
      <w:r>
        <w:t>Disseminating existing DRG resources, such as the definition of local and national OPDs and the GBV Pocket Guide annex on disability inclusion. Developing new tools and resources only in response to clear demand and when resources allow- in this case new resources will normally be developed by an existing or new/ time-bound working group</w:t>
      </w:r>
    </w:p>
    <w:p w14:paraId="2853DC72" w14:textId="77777777" w:rsidR="00AF6684" w:rsidRPr="00AF6684" w:rsidRDefault="00AF6684" w:rsidP="00AF6684">
      <w:pPr>
        <w:rPr>
          <w:rFonts w:eastAsiaTheme="minorEastAsia" w:cstheme="minorHAnsi"/>
          <w:lang w:eastAsia="zh-CN"/>
        </w:rPr>
      </w:pPr>
    </w:p>
    <w:p w14:paraId="0635D1E1" w14:textId="77777777" w:rsidR="00385881" w:rsidRPr="00385881" w:rsidRDefault="00385881" w:rsidP="00822F18"/>
    <w:sectPr w:rsidR="00385881" w:rsidRPr="00385881" w:rsidSect="00385881">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3399E" w14:textId="77777777" w:rsidR="007965BD" w:rsidRDefault="007965BD" w:rsidP="000E683E">
      <w:pPr>
        <w:spacing w:after="0" w:line="240" w:lineRule="auto"/>
      </w:pPr>
      <w:r>
        <w:separator/>
      </w:r>
    </w:p>
  </w:endnote>
  <w:endnote w:type="continuationSeparator" w:id="0">
    <w:p w14:paraId="03828AD5" w14:textId="77777777" w:rsidR="007965BD" w:rsidRDefault="007965BD" w:rsidP="000E6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692EB" w14:textId="77777777" w:rsidR="000E683E" w:rsidRDefault="000E68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FF037" w14:textId="77777777" w:rsidR="000E683E" w:rsidRDefault="000E68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744E" w14:textId="77777777" w:rsidR="000E683E" w:rsidRDefault="000E6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13547" w14:textId="77777777" w:rsidR="007965BD" w:rsidRDefault="007965BD" w:rsidP="000E683E">
      <w:pPr>
        <w:spacing w:after="0" w:line="240" w:lineRule="auto"/>
      </w:pPr>
      <w:r>
        <w:separator/>
      </w:r>
    </w:p>
  </w:footnote>
  <w:footnote w:type="continuationSeparator" w:id="0">
    <w:p w14:paraId="7B57671D" w14:textId="77777777" w:rsidR="007965BD" w:rsidRDefault="007965BD" w:rsidP="000E6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960F3" w14:textId="75A0EFCC" w:rsidR="000E683E" w:rsidRDefault="000E68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014631"/>
      <w:docPartObj>
        <w:docPartGallery w:val="Watermarks"/>
        <w:docPartUnique/>
      </w:docPartObj>
    </w:sdtPr>
    <w:sdtContent>
      <w:p w14:paraId="6F068979" w14:textId="23E56D5F" w:rsidR="000E683E" w:rsidRDefault="00000000">
        <w:pPr>
          <w:pStyle w:val="Header"/>
        </w:pPr>
        <w:r>
          <w:rPr>
            <w:noProof/>
          </w:rPr>
          <w:pict w14:anchorId="4BDFF0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6FE25" w14:textId="621909FC" w:rsidR="000E683E" w:rsidRDefault="000E68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5A6B89A"/>
    <w:lvl w:ilvl="0">
      <w:start w:val="1"/>
      <w:numFmt w:val="decimal"/>
      <w:pStyle w:val="ListBullet"/>
      <w:lvlText w:val="%1."/>
      <w:lvlJc w:val="left"/>
      <w:pPr>
        <w:tabs>
          <w:tab w:val="num" w:pos="360"/>
        </w:tabs>
        <w:ind w:left="360" w:hanging="360"/>
      </w:pPr>
      <w:rPr>
        <w:rFonts w:asciiTheme="minorHAnsi" w:eastAsiaTheme="minorHAnsi" w:hAnsiTheme="minorHAnsi" w:cstheme="minorBidi"/>
      </w:rPr>
    </w:lvl>
  </w:abstractNum>
  <w:abstractNum w:abstractNumId="1" w15:restartNumberingAfterBreak="0">
    <w:nsid w:val="0486355A"/>
    <w:multiLevelType w:val="hybridMultilevel"/>
    <w:tmpl w:val="0D306A34"/>
    <w:lvl w:ilvl="0" w:tplc="A5683414">
      <w:start w:val="1"/>
      <w:numFmt w:val="bullet"/>
      <w:lvlText w:val="•"/>
      <w:lvlJc w:val="left"/>
      <w:pPr>
        <w:tabs>
          <w:tab w:val="num" w:pos="720"/>
        </w:tabs>
        <w:ind w:left="720" w:hanging="360"/>
      </w:pPr>
      <w:rPr>
        <w:rFonts w:ascii="Arial" w:hAnsi="Arial" w:hint="default"/>
      </w:rPr>
    </w:lvl>
    <w:lvl w:ilvl="1" w:tplc="7348107E">
      <w:start w:val="1"/>
      <w:numFmt w:val="bullet"/>
      <w:lvlText w:val="•"/>
      <w:lvlJc w:val="left"/>
      <w:pPr>
        <w:tabs>
          <w:tab w:val="num" w:pos="1440"/>
        </w:tabs>
        <w:ind w:left="1440" w:hanging="360"/>
      </w:pPr>
      <w:rPr>
        <w:rFonts w:ascii="Arial" w:hAnsi="Arial" w:hint="default"/>
      </w:rPr>
    </w:lvl>
    <w:lvl w:ilvl="2" w:tplc="0D1A1B26" w:tentative="1">
      <w:start w:val="1"/>
      <w:numFmt w:val="bullet"/>
      <w:lvlText w:val="•"/>
      <w:lvlJc w:val="left"/>
      <w:pPr>
        <w:tabs>
          <w:tab w:val="num" w:pos="2160"/>
        </w:tabs>
        <w:ind w:left="2160" w:hanging="360"/>
      </w:pPr>
      <w:rPr>
        <w:rFonts w:ascii="Arial" w:hAnsi="Arial" w:hint="default"/>
      </w:rPr>
    </w:lvl>
    <w:lvl w:ilvl="3" w:tplc="D61EE376" w:tentative="1">
      <w:start w:val="1"/>
      <w:numFmt w:val="bullet"/>
      <w:lvlText w:val="•"/>
      <w:lvlJc w:val="left"/>
      <w:pPr>
        <w:tabs>
          <w:tab w:val="num" w:pos="2880"/>
        </w:tabs>
        <w:ind w:left="2880" w:hanging="360"/>
      </w:pPr>
      <w:rPr>
        <w:rFonts w:ascii="Arial" w:hAnsi="Arial" w:hint="default"/>
      </w:rPr>
    </w:lvl>
    <w:lvl w:ilvl="4" w:tplc="BA747014" w:tentative="1">
      <w:start w:val="1"/>
      <w:numFmt w:val="bullet"/>
      <w:lvlText w:val="•"/>
      <w:lvlJc w:val="left"/>
      <w:pPr>
        <w:tabs>
          <w:tab w:val="num" w:pos="3600"/>
        </w:tabs>
        <w:ind w:left="3600" w:hanging="360"/>
      </w:pPr>
      <w:rPr>
        <w:rFonts w:ascii="Arial" w:hAnsi="Arial" w:hint="default"/>
      </w:rPr>
    </w:lvl>
    <w:lvl w:ilvl="5" w:tplc="26F0455E" w:tentative="1">
      <w:start w:val="1"/>
      <w:numFmt w:val="bullet"/>
      <w:lvlText w:val="•"/>
      <w:lvlJc w:val="left"/>
      <w:pPr>
        <w:tabs>
          <w:tab w:val="num" w:pos="4320"/>
        </w:tabs>
        <w:ind w:left="4320" w:hanging="360"/>
      </w:pPr>
      <w:rPr>
        <w:rFonts w:ascii="Arial" w:hAnsi="Arial" w:hint="default"/>
      </w:rPr>
    </w:lvl>
    <w:lvl w:ilvl="6" w:tplc="9A10BC7E" w:tentative="1">
      <w:start w:val="1"/>
      <w:numFmt w:val="bullet"/>
      <w:lvlText w:val="•"/>
      <w:lvlJc w:val="left"/>
      <w:pPr>
        <w:tabs>
          <w:tab w:val="num" w:pos="5040"/>
        </w:tabs>
        <w:ind w:left="5040" w:hanging="360"/>
      </w:pPr>
      <w:rPr>
        <w:rFonts w:ascii="Arial" w:hAnsi="Arial" w:hint="default"/>
      </w:rPr>
    </w:lvl>
    <w:lvl w:ilvl="7" w:tplc="C706B3DE" w:tentative="1">
      <w:start w:val="1"/>
      <w:numFmt w:val="bullet"/>
      <w:lvlText w:val="•"/>
      <w:lvlJc w:val="left"/>
      <w:pPr>
        <w:tabs>
          <w:tab w:val="num" w:pos="5760"/>
        </w:tabs>
        <w:ind w:left="5760" w:hanging="360"/>
      </w:pPr>
      <w:rPr>
        <w:rFonts w:ascii="Arial" w:hAnsi="Arial" w:hint="default"/>
      </w:rPr>
    </w:lvl>
    <w:lvl w:ilvl="8" w:tplc="C7708C0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CA7698"/>
    <w:multiLevelType w:val="hybridMultilevel"/>
    <w:tmpl w:val="48D20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D21A5A"/>
    <w:multiLevelType w:val="hybridMultilevel"/>
    <w:tmpl w:val="56E61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B75D6"/>
    <w:multiLevelType w:val="hybridMultilevel"/>
    <w:tmpl w:val="BF406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EE4E5C"/>
    <w:multiLevelType w:val="hybridMultilevel"/>
    <w:tmpl w:val="E3860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AE42DF"/>
    <w:multiLevelType w:val="hybridMultilevel"/>
    <w:tmpl w:val="2B2825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474E45"/>
    <w:multiLevelType w:val="hybridMultilevel"/>
    <w:tmpl w:val="00CE45DA"/>
    <w:lvl w:ilvl="0" w:tplc="04090001">
      <w:start w:val="1"/>
      <w:numFmt w:val="bullet"/>
      <w:lvlText w:val=""/>
      <w:lvlJc w:val="left"/>
      <w:pPr>
        <w:ind w:left="1144" w:hanging="360"/>
      </w:pPr>
      <w:rPr>
        <w:rFonts w:ascii="Symbol" w:hAnsi="Symbol"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8" w15:restartNumberingAfterBreak="0">
    <w:nsid w:val="15DA7C0C"/>
    <w:multiLevelType w:val="hybridMultilevel"/>
    <w:tmpl w:val="6A967D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A5860BA"/>
    <w:multiLevelType w:val="hybridMultilevel"/>
    <w:tmpl w:val="254C2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40687"/>
    <w:multiLevelType w:val="hybridMultilevel"/>
    <w:tmpl w:val="4506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86572"/>
    <w:multiLevelType w:val="hybridMultilevel"/>
    <w:tmpl w:val="6B9E162E"/>
    <w:lvl w:ilvl="0" w:tplc="0582930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EA269C"/>
    <w:multiLevelType w:val="hybridMultilevel"/>
    <w:tmpl w:val="CE5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2741EE"/>
    <w:multiLevelType w:val="hybridMultilevel"/>
    <w:tmpl w:val="F1A25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6A5E7E"/>
    <w:multiLevelType w:val="hybridMultilevel"/>
    <w:tmpl w:val="9BB88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1F228A"/>
    <w:multiLevelType w:val="hybridMultilevel"/>
    <w:tmpl w:val="91CCC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031B90"/>
    <w:multiLevelType w:val="hybridMultilevel"/>
    <w:tmpl w:val="A9D4C7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A2D3B37"/>
    <w:multiLevelType w:val="hybridMultilevel"/>
    <w:tmpl w:val="307432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2C3C370C"/>
    <w:multiLevelType w:val="hybridMultilevel"/>
    <w:tmpl w:val="E8B62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AF57DA"/>
    <w:multiLevelType w:val="hybridMultilevel"/>
    <w:tmpl w:val="7CA2C288"/>
    <w:lvl w:ilvl="0" w:tplc="6066ACE0">
      <w:start w:val="9"/>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FF0782"/>
    <w:multiLevelType w:val="hybridMultilevel"/>
    <w:tmpl w:val="665C5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05A95"/>
    <w:multiLevelType w:val="hybridMultilevel"/>
    <w:tmpl w:val="81ECA1A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7F7B91"/>
    <w:multiLevelType w:val="hybridMultilevel"/>
    <w:tmpl w:val="5F14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B86683"/>
    <w:multiLevelType w:val="hybridMultilevel"/>
    <w:tmpl w:val="CBEA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F58E7"/>
    <w:multiLevelType w:val="hybridMultilevel"/>
    <w:tmpl w:val="D9844332"/>
    <w:lvl w:ilvl="0" w:tplc="321259E2">
      <w:start w:val="1"/>
      <w:numFmt w:val="bullet"/>
      <w:lvlText w:val="•"/>
      <w:lvlJc w:val="left"/>
      <w:pPr>
        <w:tabs>
          <w:tab w:val="num" w:pos="720"/>
        </w:tabs>
        <w:ind w:left="720" w:hanging="360"/>
      </w:pPr>
      <w:rPr>
        <w:rFonts w:ascii="Arial" w:hAnsi="Arial" w:hint="default"/>
      </w:rPr>
    </w:lvl>
    <w:lvl w:ilvl="1" w:tplc="B5423544">
      <w:start w:val="1"/>
      <w:numFmt w:val="bullet"/>
      <w:lvlText w:val="•"/>
      <w:lvlJc w:val="left"/>
      <w:pPr>
        <w:tabs>
          <w:tab w:val="num" w:pos="1440"/>
        </w:tabs>
        <w:ind w:left="1440" w:hanging="360"/>
      </w:pPr>
      <w:rPr>
        <w:rFonts w:ascii="Arial" w:hAnsi="Arial" w:hint="default"/>
      </w:rPr>
    </w:lvl>
    <w:lvl w:ilvl="2" w:tplc="E2D6E99E" w:tentative="1">
      <w:start w:val="1"/>
      <w:numFmt w:val="bullet"/>
      <w:lvlText w:val="•"/>
      <w:lvlJc w:val="left"/>
      <w:pPr>
        <w:tabs>
          <w:tab w:val="num" w:pos="2160"/>
        </w:tabs>
        <w:ind w:left="2160" w:hanging="360"/>
      </w:pPr>
      <w:rPr>
        <w:rFonts w:ascii="Arial" w:hAnsi="Arial" w:hint="default"/>
      </w:rPr>
    </w:lvl>
    <w:lvl w:ilvl="3" w:tplc="F6CECDCC" w:tentative="1">
      <w:start w:val="1"/>
      <w:numFmt w:val="bullet"/>
      <w:lvlText w:val="•"/>
      <w:lvlJc w:val="left"/>
      <w:pPr>
        <w:tabs>
          <w:tab w:val="num" w:pos="2880"/>
        </w:tabs>
        <w:ind w:left="2880" w:hanging="360"/>
      </w:pPr>
      <w:rPr>
        <w:rFonts w:ascii="Arial" w:hAnsi="Arial" w:hint="default"/>
      </w:rPr>
    </w:lvl>
    <w:lvl w:ilvl="4" w:tplc="A070504E" w:tentative="1">
      <w:start w:val="1"/>
      <w:numFmt w:val="bullet"/>
      <w:lvlText w:val="•"/>
      <w:lvlJc w:val="left"/>
      <w:pPr>
        <w:tabs>
          <w:tab w:val="num" w:pos="3600"/>
        </w:tabs>
        <w:ind w:left="3600" w:hanging="360"/>
      </w:pPr>
      <w:rPr>
        <w:rFonts w:ascii="Arial" w:hAnsi="Arial" w:hint="default"/>
      </w:rPr>
    </w:lvl>
    <w:lvl w:ilvl="5" w:tplc="10AE2F80" w:tentative="1">
      <w:start w:val="1"/>
      <w:numFmt w:val="bullet"/>
      <w:lvlText w:val="•"/>
      <w:lvlJc w:val="left"/>
      <w:pPr>
        <w:tabs>
          <w:tab w:val="num" w:pos="4320"/>
        </w:tabs>
        <w:ind w:left="4320" w:hanging="360"/>
      </w:pPr>
      <w:rPr>
        <w:rFonts w:ascii="Arial" w:hAnsi="Arial" w:hint="default"/>
      </w:rPr>
    </w:lvl>
    <w:lvl w:ilvl="6" w:tplc="8A6E0CA6" w:tentative="1">
      <w:start w:val="1"/>
      <w:numFmt w:val="bullet"/>
      <w:lvlText w:val="•"/>
      <w:lvlJc w:val="left"/>
      <w:pPr>
        <w:tabs>
          <w:tab w:val="num" w:pos="5040"/>
        </w:tabs>
        <w:ind w:left="5040" w:hanging="360"/>
      </w:pPr>
      <w:rPr>
        <w:rFonts w:ascii="Arial" w:hAnsi="Arial" w:hint="default"/>
      </w:rPr>
    </w:lvl>
    <w:lvl w:ilvl="7" w:tplc="81121430" w:tentative="1">
      <w:start w:val="1"/>
      <w:numFmt w:val="bullet"/>
      <w:lvlText w:val="•"/>
      <w:lvlJc w:val="left"/>
      <w:pPr>
        <w:tabs>
          <w:tab w:val="num" w:pos="5760"/>
        </w:tabs>
        <w:ind w:left="5760" w:hanging="360"/>
      </w:pPr>
      <w:rPr>
        <w:rFonts w:ascii="Arial" w:hAnsi="Arial" w:hint="default"/>
      </w:rPr>
    </w:lvl>
    <w:lvl w:ilvl="8" w:tplc="CA6C44D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A031F89"/>
    <w:multiLevelType w:val="hybridMultilevel"/>
    <w:tmpl w:val="F268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582577"/>
    <w:multiLevelType w:val="hybridMultilevel"/>
    <w:tmpl w:val="36DAAC84"/>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7" w15:restartNumberingAfterBreak="0">
    <w:nsid w:val="4FED75E7"/>
    <w:multiLevelType w:val="hybridMultilevel"/>
    <w:tmpl w:val="D16833A2"/>
    <w:lvl w:ilvl="0" w:tplc="1A7ED7EA">
      <w:start w:val="1"/>
      <w:numFmt w:val="bullet"/>
      <w:lvlText w:val="•"/>
      <w:lvlJc w:val="left"/>
      <w:pPr>
        <w:tabs>
          <w:tab w:val="num" w:pos="720"/>
        </w:tabs>
        <w:ind w:left="720" w:hanging="360"/>
      </w:pPr>
      <w:rPr>
        <w:rFonts w:ascii="Arial" w:hAnsi="Arial" w:hint="default"/>
      </w:rPr>
    </w:lvl>
    <w:lvl w:ilvl="1" w:tplc="E744AA0A">
      <w:start w:val="1"/>
      <w:numFmt w:val="bullet"/>
      <w:lvlText w:val="•"/>
      <w:lvlJc w:val="left"/>
      <w:pPr>
        <w:tabs>
          <w:tab w:val="num" w:pos="1440"/>
        </w:tabs>
        <w:ind w:left="1440" w:hanging="360"/>
      </w:pPr>
      <w:rPr>
        <w:rFonts w:ascii="Arial" w:hAnsi="Arial" w:hint="default"/>
      </w:rPr>
    </w:lvl>
    <w:lvl w:ilvl="2" w:tplc="BBF43730" w:tentative="1">
      <w:start w:val="1"/>
      <w:numFmt w:val="bullet"/>
      <w:lvlText w:val="•"/>
      <w:lvlJc w:val="left"/>
      <w:pPr>
        <w:tabs>
          <w:tab w:val="num" w:pos="2160"/>
        </w:tabs>
        <w:ind w:left="2160" w:hanging="360"/>
      </w:pPr>
      <w:rPr>
        <w:rFonts w:ascii="Arial" w:hAnsi="Arial" w:hint="default"/>
      </w:rPr>
    </w:lvl>
    <w:lvl w:ilvl="3" w:tplc="A0A8E8B4" w:tentative="1">
      <w:start w:val="1"/>
      <w:numFmt w:val="bullet"/>
      <w:lvlText w:val="•"/>
      <w:lvlJc w:val="left"/>
      <w:pPr>
        <w:tabs>
          <w:tab w:val="num" w:pos="2880"/>
        </w:tabs>
        <w:ind w:left="2880" w:hanging="360"/>
      </w:pPr>
      <w:rPr>
        <w:rFonts w:ascii="Arial" w:hAnsi="Arial" w:hint="default"/>
      </w:rPr>
    </w:lvl>
    <w:lvl w:ilvl="4" w:tplc="D2B64E0E" w:tentative="1">
      <w:start w:val="1"/>
      <w:numFmt w:val="bullet"/>
      <w:lvlText w:val="•"/>
      <w:lvlJc w:val="left"/>
      <w:pPr>
        <w:tabs>
          <w:tab w:val="num" w:pos="3600"/>
        </w:tabs>
        <w:ind w:left="3600" w:hanging="360"/>
      </w:pPr>
      <w:rPr>
        <w:rFonts w:ascii="Arial" w:hAnsi="Arial" w:hint="default"/>
      </w:rPr>
    </w:lvl>
    <w:lvl w:ilvl="5" w:tplc="E5523A2C" w:tentative="1">
      <w:start w:val="1"/>
      <w:numFmt w:val="bullet"/>
      <w:lvlText w:val="•"/>
      <w:lvlJc w:val="left"/>
      <w:pPr>
        <w:tabs>
          <w:tab w:val="num" w:pos="4320"/>
        </w:tabs>
        <w:ind w:left="4320" w:hanging="360"/>
      </w:pPr>
      <w:rPr>
        <w:rFonts w:ascii="Arial" w:hAnsi="Arial" w:hint="default"/>
      </w:rPr>
    </w:lvl>
    <w:lvl w:ilvl="6" w:tplc="2946E750" w:tentative="1">
      <w:start w:val="1"/>
      <w:numFmt w:val="bullet"/>
      <w:lvlText w:val="•"/>
      <w:lvlJc w:val="left"/>
      <w:pPr>
        <w:tabs>
          <w:tab w:val="num" w:pos="5040"/>
        </w:tabs>
        <w:ind w:left="5040" w:hanging="360"/>
      </w:pPr>
      <w:rPr>
        <w:rFonts w:ascii="Arial" w:hAnsi="Arial" w:hint="default"/>
      </w:rPr>
    </w:lvl>
    <w:lvl w:ilvl="7" w:tplc="8EA86DC6" w:tentative="1">
      <w:start w:val="1"/>
      <w:numFmt w:val="bullet"/>
      <w:lvlText w:val="•"/>
      <w:lvlJc w:val="left"/>
      <w:pPr>
        <w:tabs>
          <w:tab w:val="num" w:pos="5760"/>
        </w:tabs>
        <w:ind w:left="5760" w:hanging="360"/>
      </w:pPr>
      <w:rPr>
        <w:rFonts w:ascii="Arial" w:hAnsi="Arial" w:hint="default"/>
      </w:rPr>
    </w:lvl>
    <w:lvl w:ilvl="8" w:tplc="BEBE004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14C0586"/>
    <w:multiLevelType w:val="hybridMultilevel"/>
    <w:tmpl w:val="286AC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782969"/>
    <w:multiLevelType w:val="hybridMultilevel"/>
    <w:tmpl w:val="CFE083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1F72657"/>
    <w:multiLevelType w:val="hybridMultilevel"/>
    <w:tmpl w:val="FC9A2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9148A1"/>
    <w:multiLevelType w:val="hybridMultilevel"/>
    <w:tmpl w:val="22BA8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7142FD"/>
    <w:multiLevelType w:val="hybridMultilevel"/>
    <w:tmpl w:val="F3F47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F10417"/>
    <w:multiLevelType w:val="hybridMultilevel"/>
    <w:tmpl w:val="41C8E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04222D"/>
    <w:multiLevelType w:val="hybridMultilevel"/>
    <w:tmpl w:val="AA24D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DC5460"/>
    <w:multiLevelType w:val="hybridMultilevel"/>
    <w:tmpl w:val="648CA7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669D6B83"/>
    <w:multiLevelType w:val="hybridMultilevel"/>
    <w:tmpl w:val="888A79BC"/>
    <w:lvl w:ilvl="0" w:tplc="08090001">
      <w:start w:val="1"/>
      <w:numFmt w:val="bullet"/>
      <w:lvlText w:val=""/>
      <w:lvlJc w:val="left"/>
      <w:pPr>
        <w:ind w:left="78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DD96A57"/>
    <w:multiLevelType w:val="hybridMultilevel"/>
    <w:tmpl w:val="9D16E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9A1F9E"/>
    <w:multiLevelType w:val="hybridMultilevel"/>
    <w:tmpl w:val="340C0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4060E4"/>
    <w:multiLevelType w:val="hybridMultilevel"/>
    <w:tmpl w:val="AAE21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F927DC"/>
    <w:multiLevelType w:val="hybridMultilevel"/>
    <w:tmpl w:val="D984221A"/>
    <w:lvl w:ilvl="0" w:tplc="08090001">
      <w:start w:val="1"/>
      <w:numFmt w:val="bullet"/>
      <w:lvlText w:val=""/>
      <w:lvlJc w:val="left"/>
      <w:pPr>
        <w:ind w:left="78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66D0CFD"/>
    <w:multiLevelType w:val="hybridMultilevel"/>
    <w:tmpl w:val="0C78B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760038"/>
    <w:multiLevelType w:val="hybridMultilevel"/>
    <w:tmpl w:val="3606C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CF09F3"/>
    <w:multiLevelType w:val="hybridMultilevel"/>
    <w:tmpl w:val="DF08BB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EF54A80"/>
    <w:multiLevelType w:val="hybridMultilevel"/>
    <w:tmpl w:val="A82E7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4211819">
    <w:abstractNumId w:val="32"/>
  </w:num>
  <w:num w:numId="2" w16cid:durableId="1718116288">
    <w:abstractNumId w:val="5"/>
  </w:num>
  <w:num w:numId="3" w16cid:durableId="1472013578">
    <w:abstractNumId w:val="42"/>
  </w:num>
  <w:num w:numId="4" w16cid:durableId="1925531514">
    <w:abstractNumId w:val="38"/>
  </w:num>
  <w:num w:numId="5" w16cid:durableId="1333026467">
    <w:abstractNumId w:val="28"/>
  </w:num>
  <w:num w:numId="6" w16cid:durableId="1944150481">
    <w:abstractNumId w:val="4"/>
  </w:num>
  <w:num w:numId="7" w16cid:durableId="69933712">
    <w:abstractNumId w:val="34"/>
  </w:num>
  <w:num w:numId="8" w16cid:durableId="593519958">
    <w:abstractNumId w:val="31"/>
  </w:num>
  <w:num w:numId="9" w16cid:durableId="1913657809">
    <w:abstractNumId w:val="13"/>
  </w:num>
  <w:num w:numId="10" w16cid:durableId="324864333">
    <w:abstractNumId w:val="33"/>
  </w:num>
  <w:num w:numId="11" w16cid:durableId="1971980232">
    <w:abstractNumId w:val="1"/>
  </w:num>
  <w:num w:numId="12" w16cid:durableId="514850859">
    <w:abstractNumId w:val="39"/>
  </w:num>
  <w:num w:numId="13" w16cid:durableId="1572229144">
    <w:abstractNumId w:val="24"/>
  </w:num>
  <w:num w:numId="14" w16cid:durableId="1926956120">
    <w:abstractNumId w:val="20"/>
  </w:num>
  <w:num w:numId="15" w16cid:durableId="1942251895">
    <w:abstractNumId w:val="27"/>
  </w:num>
  <w:num w:numId="16" w16cid:durableId="1423718547">
    <w:abstractNumId w:val="44"/>
  </w:num>
  <w:num w:numId="17" w16cid:durableId="2127502049">
    <w:abstractNumId w:val="0"/>
  </w:num>
  <w:num w:numId="18" w16cid:durableId="1950433957">
    <w:abstractNumId w:val="15"/>
  </w:num>
  <w:num w:numId="19" w16cid:durableId="1764573981">
    <w:abstractNumId w:val="2"/>
  </w:num>
  <w:num w:numId="20" w16cid:durableId="49229806">
    <w:abstractNumId w:val="25"/>
  </w:num>
  <w:num w:numId="21" w16cid:durableId="806973592">
    <w:abstractNumId w:val="37"/>
  </w:num>
  <w:num w:numId="22" w16cid:durableId="15338818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61568633">
    <w:abstractNumId w:val="14"/>
  </w:num>
  <w:num w:numId="24" w16cid:durableId="6033903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60988775">
    <w:abstractNumId w:val="35"/>
  </w:num>
  <w:num w:numId="26" w16cid:durableId="231434746">
    <w:abstractNumId w:val="17"/>
  </w:num>
  <w:num w:numId="27" w16cid:durableId="349069013">
    <w:abstractNumId w:val="8"/>
  </w:num>
  <w:num w:numId="28" w16cid:durableId="1154370924">
    <w:abstractNumId w:val="19"/>
  </w:num>
  <w:num w:numId="29" w16cid:durableId="1749497667">
    <w:abstractNumId w:val="21"/>
  </w:num>
  <w:num w:numId="30" w16cid:durableId="484930348">
    <w:abstractNumId w:val="23"/>
  </w:num>
  <w:num w:numId="31" w16cid:durableId="521821358">
    <w:abstractNumId w:val="20"/>
  </w:num>
  <w:num w:numId="32" w16cid:durableId="1423335224">
    <w:abstractNumId w:val="17"/>
  </w:num>
  <w:num w:numId="33" w16cid:durableId="1201094195">
    <w:abstractNumId w:val="11"/>
  </w:num>
  <w:num w:numId="34" w16cid:durableId="428936575">
    <w:abstractNumId w:val="41"/>
  </w:num>
  <w:num w:numId="35" w16cid:durableId="913322459">
    <w:abstractNumId w:val="10"/>
  </w:num>
  <w:num w:numId="36" w16cid:durableId="1113405748">
    <w:abstractNumId w:val="18"/>
  </w:num>
  <w:num w:numId="37" w16cid:durableId="156963714">
    <w:abstractNumId w:val="26"/>
  </w:num>
  <w:num w:numId="38" w16cid:durableId="1403408082">
    <w:abstractNumId w:val="7"/>
  </w:num>
  <w:num w:numId="39" w16cid:durableId="364213864">
    <w:abstractNumId w:val="22"/>
  </w:num>
  <w:num w:numId="40" w16cid:durableId="2087605837">
    <w:abstractNumId w:val="9"/>
  </w:num>
  <w:num w:numId="41" w16cid:durableId="624240567">
    <w:abstractNumId w:val="30"/>
  </w:num>
  <w:num w:numId="42" w16cid:durableId="290481555">
    <w:abstractNumId w:val="3"/>
  </w:num>
  <w:num w:numId="43" w16cid:durableId="1311208936">
    <w:abstractNumId w:val="12"/>
  </w:num>
  <w:num w:numId="44" w16cid:durableId="2070296686">
    <w:abstractNumId w:val="6"/>
  </w:num>
  <w:num w:numId="45" w16cid:durableId="1216043253">
    <w:abstractNumId w:val="43"/>
  </w:num>
  <w:num w:numId="46" w16cid:durableId="223412359">
    <w:abstractNumId w:val="40"/>
  </w:num>
  <w:num w:numId="47" w16cid:durableId="69954762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E22"/>
    <w:rsid w:val="00026BB0"/>
    <w:rsid w:val="000311D0"/>
    <w:rsid w:val="00041AB3"/>
    <w:rsid w:val="000642E3"/>
    <w:rsid w:val="000648CB"/>
    <w:rsid w:val="0006599A"/>
    <w:rsid w:val="000A1572"/>
    <w:rsid w:val="000A27C9"/>
    <w:rsid w:val="000B0442"/>
    <w:rsid w:val="000E683E"/>
    <w:rsid w:val="000F5210"/>
    <w:rsid w:val="000F5A91"/>
    <w:rsid w:val="00111BA0"/>
    <w:rsid w:val="001127A0"/>
    <w:rsid w:val="00116195"/>
    <w:rsid w:val="001176B0"/>
    <w:rsid w:val="00137C4C"/>
    <w:rsid w:val="001433B6"/>
    <w:rsid w:val="00195231"/>
    <w:rsid w:val="001A6529"/>
    <w:rsid w:val="001B5E1B"/>
    <w:rsid w:val="001C3EDF"/>
    <w:rsid w:val="001C4792"/>
    <w:rsid w:val="001E21E4"/>
    <w:rsid w:val="001E7F4C"/>
    <w:rsid w:val="001E7F5A"/>
    <w:rsid w:val="001F23C1"/>
    <w:rsid w:val="00205845"/>
    <w:rsid w:val="0020605A"/>
    <w:rsid w:val="00206196"/>
    <w:rsid w:val="00206D31"/>
    <w:rsid w:val="00213FCF"/>
    <w:rsid w:val="00225397"/>
    <w:rsid w:val="002262CE"/>
    <w:rsid w:val="00236A73"/>
    <w:rsid w:val="002469DE"/>
    <w:rsid w:val="0025614B"/>
    <w:rsid w:val="002B32E1"/>
    <w:rsid w:val="002B5289"/>
    <w:rsid w:val="002D4AB1"/>
    <w:rsid w:val="002F2265"/>
    <w:rsid w:val="00314120"/>
    <w:rsid w:val="00327DBF"/>
    <w:rsid w:val="00331496"/>
    <w:rsid w:val="0034795A"/>
    <w:rsid w:val="00375C86"/>
    <w:rsid w:val="00385881"/>
    <w:rsid w:val="003A592F"/>
    <w:rsid w:val="003D03EF"/>
    <w:rsid w:val="003D5A0F"/>
    <w:rsid w:val="003D729F"/>
    <w:rsid w:val="003F1D88"/>
    <w:rsid w:val="003F2F01"/>
    <w:rsid w:val="003F46A4"/>
    <w:rsid w:val="004036A3"/>
    <w:rsid w:val="004059BA"/>
    <w:rsid w:val="0040714A"/>
    <w:rsid w:val="0042348C"/>
    <w:rsid w:val="00442505"/>
    <w:rsid w:val="00452AB7"/>
    <w:rsid w:val="00453E32"/>
    <w:rsid w:val="004614D5"/>
    <w:rsid w:val="00492F04"/>
    <w:rsid w:val="00496B59"/>
    <w:rsid w:val="004A4704"/>
    <w:rsid w:val="004B29B4"/>
    <w:rsid w:val="004B6D3B"/>
    <w:rsid w:val="004C1866"/>
    <w:rsid w:val="004C58D4"/>
    <w:rsid w:val="004D6F82"/>
    <w:rsid w:val="0050591E"/>
    <w:rsid w:val="005342DE"/>
    <w:rsid w:val="00542B8F"/>
    <w:rsid w:val="00551324"/>
    <w:rsid w:val="00556247"/>
    <w:rsid w:val="0056719B"/>
    <w:rsid w:val="005701E1"/>
    <w:rsid w:val="00573D10"/>
    <w:rsid w:val="0059162E"/>
    <w:rsid w:val="00592A89"/>
    <w:rsid w:val="005970CF"/>
    <w:rsid w:val="005C17F0"/>
    <w:rsid w:val="005D6260"/>
    <w:rsid w:val="005F1375"/>
    <w:rsid w:val="005F16A6"/>
    <w:rsid w:val="005F3B53"/>
    <w:rsid w:val="0061150C"/>
    <w:rsid w:val="00613EBF"/>
    <w:rsid w:val="00625FCD"/>
    <w:rsid w:val="00627E63"/>
    <w:rsid w:val="00652388"/>
    <w:rsid w:val="0067493C"/>
    <w:rsid w:val="00690B84"/>
    <w:rsid w:val="006911CD"/>
    <w:rsid w:val="006A6414"/>
    <w:rsid w:val="006C1159"/>
    <w:rsid w:val="006D2271"/>
    <w:rsid w:val="006D6D18"/>
    <w:rsid w:val="006E19DA"/>
    <w:rsid w:val="006F28DF"/>
    <w:rsid w:val="006F3464"/>
    <w:rsid w:val="006F367A"/>
    <w:rsid w:val="00712876"/>
    <w:rsid w:val="00721600"/>
    <w:rsid w:val="0073122A"/>
    <w:rsid w:val="00731AF0"/>
    <w:rsid w:val="00742AAE"/>
    <w:rsid w:val="00761E03"/>
    <w:rsid w:val="00774186"/>
    <w:rsid w:val="007965BD"/>
    <w:rsid w:val="007B1A8D"/>
    <w:rsid w:val="007B255E"/>
    <w:rsid w:val="007C094E"/>
    <w:rsid w:val="007C372A"/>
    <w:rsid w:val="007E156B"/>
    <w:rsid w:val="00803BDB"/>
    <w:rsid w:val="00805198"/>
    <w:rsid w:val="00806C97"/>
    <w:rsid w:val="00810E2D"/>
    <w:rsid w:val="00814ADE"/>
    <w:rsid w:val="00820953"/>
    <w:rsid w:val="00822F18"/>
    <w:rsid w:val="0083323F"/>
    <w:rsid w:val="00837086"/>
    <w:rsid w:val="00843A6D"/>
    <w:rsid w:val="0084566C"/>
    <w:rsid w:val="00850F32"/>
    <w:rsid w:val="00851916"/>
    <w:rsid w:val="00863C90"/>
    <w:rsid w:val="00876722"/>
    <w:rsid w:val="00895D23"/>
    <w:rsid w:val="008D2B58"/>
    <w:rsid w:val="008D3180"/>
    <w:rsid w:val="008D3E6E"/>
    <w:rsid w:val="008D5708"/>
    <w:rsid w:val="008F1DF2"/>
    <w:rsid w:val="00903DAC"/>
    <w:rsid w:val="00915532"/>
    <w:rsid w:val="00916DEF"/>
    <w:rsid w:val="009230AD"/>
    <w:rsid w:val="0092329E"/>
    <w:rsid w:val="0093313A"/>
    <w:rsid w:val="009637E6"/>
    <w:rsid w:val="00987AE4"/>
    <w:rsid w:val="009B09CE"/>
    <w:rsid w:val="009B0DDC"/>
    <w:rsid w:val="009B258B"/>
    <w:rsid w:val="009C62F8"/>
    <w:rsid w:val="009E0050"/>
    <w:rsid w:val="00A274D8"/>
    <w:rsid w:val="00A3052E"/>
    <w:rsid w:val="00A34E22"/>
    <w:rsid w:val="00A36EE1"/>
    <w:rsid w:val="00A403C1"/>
    <w:rsid w:val="00A540D5"/>
    <w:rsid w:val="00AD0527"/>
    <w:rsid w:val="00AD40EE"/>
    <w:rsid w:val="00AF3B56"/>
    <w:rsid w:val="00AF6684"/>
    <w:rsid w:val="00AF6E1C"/>
    <w:rsid w:val="00AF7EB9"/>
    <w:rsid w:val="00B05DC8"/>
    <w:rsid w:val="00B23624"/>
    <w:rsid w:val="00B36C82"/>
    <w:rsid w:val="00B37BA3"/>
    <w:rsid w:val="00B43157"/>
    <w:rsid w:val="00B5139A"/>
    <w:rsid w:val="00B70E5F"/>
    <w:rsid w:val="00B73471"/>
    <w:rsid w:val="00B94708"/>
    <w:rsid w:val="00BD127C"/>
    <w:rsid w:val="00BD249F"/>
    <w:rsid w:val="00BF1870"/>
    <w:rsid w:val="00C15CE7"/>
    <w:rsid w:val="00C22847"/>
    <w:rsid w:val="00C349E4"/>
    <w:rsid w:val="00C5487D"/>
    <w:rsid w:val="00C61540"/>
    <w:rsid w:val="00C61ED4"/>
    <w:rsid w:val="00C719A2"/>
    <w:rsid w:val="00CA3A3B"/>
    <w:rsid w:val="00CB3343"/>
    <w:rsid w:val="00CD0831"/>
    <w:rsid w:val="00CD7745"/>
    <w:rsid w:val="00CE41BA"/>
    <w:rsid w:val="00CE586C"/>
    <w:rsid w:val="00CF06D1"/>
    <w:rsid w:val="00D22A72"/>
    <w:rsid w:val="00D24712"/>
    <w:rsid w:val="00D256E2"/>
    <w:rsid w:val="00D31414"/>
    <w:rsid w:val="00D3496E"/>
    <w:rsid w:val="00D34B32"/>
    <w:rsid w:val="00D359B8"/>
    <w:rsid w:val="00D5457E"/>
    <w:rsid w:val="00D70373"/>
    <w:rsid w:val="00D7636B"/>
    <w:rsid w:val="00D85676"/>
    <w:rsid w:val="00DA3D2E"/>
    <w:rsid w:val="00DB4AE5"/>
    <w:rsid w:val="00DC2E31"/>
    <w:rsid w:val="00DF415E"/>
    <w:rsid w:val="00DF5EA5"/>
    <w:rsid w:val="00E03C88"/>
    <w:rsid w:val="00E05270"/>
    <w:rsid w:val="00E27FBA"/>
    <w:rsid w:val="00E3157B"/>
    <w:rsid w:val="00E3766B"/>
    <w:rsid w:val="00E37C5A"/>
    <w:rsid w:val="00E5038E"/>
    <w:rsid w:val="00E52A6E"/>
    <w:rsid w:val="00E54181"/>
    <w:rsid w:val="00E67387"/>
    <w:rsid w:val="00E6776E"/>
    <w:rsid w:val="00E703A1"/>
    <w:rsid w:val="00E873B3"/>
    <w:rsid w:val="00EA3535"/>
    <w:rsid w:val="00ED0CC6"/>
    <w:rsid w:val="00ED34FC"/>
    <w:rsid w:val="00ED44B9"/>
    <w:rsid w:val="00EE5996"/>
    <w:rsid w:val="00EF5808"/>
    <w:rsid w:val="00F10CA0"/>
    <w:rsid w:val="00F33905"/>
    <w:rsid w:val="00F35CE7"/>
    <w:rsid w:val="00F434C1"/>
    <w:rsid w:val="00F569F2"/>
    <w:rsid w:val="00F628A5"/>
    <w:rsid w:val="00F63BF9"/>
    <w:rsid w:val="00F67D06"/>
    <w:rsid w:val="00F7121B"/>
    <w:rsid w:val="00F8530F"/>
    <w:rsid w:val="00F906DA"/>
    <w:rsid w:val="00FA1F33"/>
    <w:rsid w:val="00FA5B93"/>
    <w:rsid w:val="00FA69AB"/>
    <w:rsid w:val="00FB15DF"/>
    <w:rsid w:val="00FD1C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431E0"/>
  <w15:docId w15:val="{6A6CC80B-173C-4ADC-BB24-2ED20BCCC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881"/>
  </w:style>
  <w:style w:type="paragraph" w:styleId="Heading2">
    <w:name w:val="heading 2"/>
    <w:basedOn w:val="Normal"/>
    <w:next w:val="Normal"/>
    <w:link w:val="Heading2Char"/>
    <w:uiPriority w:val="9"/>
    <w:semiHidden/>
    <w:unhideWhenUsed/>
    <w:qFormat/>
    <w:rsid w:val="00A274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712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5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881"/>
    <w:rPr>
      <w:rFonts w:ascii="Segoe UI" w:hAnsi="Segoe UI" w:cs="Segoe UI"/>
      <w:sz w:val="18"/>
      <w:szCs w:val="18"/>
    </w:rPr>
  </w:style>
  <w:style w:type="paragraph" w:styleId="ListParagraph">
    <w:name w:val="List Paragraph"/>
    <w:basedOn w:val="Normal"/>
    <w:uiPriority w:val="34"/>
    <w:qFormat/>
    <w:rsid w:val="00385881"/>
    <w:pPr>
      <w:ind w:left="720"/>
      <w:contextualSpacing/>
    </w:pPr>
  </w:style>
  <w:style w:type="paragraph" w:customStyle="1" w:styleId="Default">
    <w:name w:val="Default"/>
    <w:basedOn w:val="Normal"/>
    <w:rsid w:val="00385881"/>
    <w:pPr>
      <w:autoSpaceDE w:val="0"/>
      <w:autoSpaceDN w:val="0"/>
      <w:spacing w:after="0" w:line="240" w:lineRule="auto"/>
    </w:pPr>
    <w:rPr>
      <w:rFonts w:ascii="Calibri" w:hAnsi="Calibri" w:cs="Calibri"/>
      <w:color w:val="000000"/>
      <w:sz w:val="24"/>
      <w:szCs w:val="24"/>
      <w:lang w:eastAsia="zh-CN"/>
    </w:rPr>
  </w:style>
  <w:style w:type="character" w:styleId="CommentReference">
    <w:name w:val="annotation reference"/>
    <w:basedOn w:val="DefaultParagraphFont"/>
    <w:uiPriority w:val="99"/>
    <w:semiHidden/>
    <w:unhideWhenUsed/>
    <w:rsid w:val="00385881"/>
    <w:rPr>
      <w:sz w:val="16"/>
      <w:szCs w:val="16"/>
    </w:rPr>
  </w:style>
  <w:style w:type="paragraph" w:styleId="CommentText">
    <w:name w:val="annotation text"/>
    <w:basedOn w:val="Normal"/>
    <w:link w:val="CommentTextChar"/>
    <w:uiPriority w:val="99"/>
    <w:unhideWhenUsed/>
    <w:rsid w:val="00385881"/>
    <w:pPr>
      <w:spacing w:line="240" w:lineRule="auto"/>
    </w:pPr>
    <w:rPr>
      <w:sz w:val="20"/>
      <w:szCs w:val="20"/>
    </w:rPr>
  </w:style>
  <w:style w:type="character" w:customStyle="1" w:styleId="CommentTextChar">
    <w:name w:val="Comment Text Char"/>
    <w:basedOn w:val="DefaultParagraphFont"/>
    <w:link w:val="CommentText"/>
    <w:uiPriority w:val="99"/>
    <w:rsid w:val="00385881"/>
    <w:rPr>
      <w:sz w:val="20"/>
      <w:szCs w:val="20"/>
    </w:rPr>
  </w:style>
  <w:style w:type="table" w:styleId="TableGrid">
    <w:name w:val="Table Grid"/>
    <w:basedOn w:val="TableNormal"/>
    <w:uiPriority w:val="39"/>
    <w:rsid w:val="00691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B43157"/>
    <w:pPr>
      <w:numPr>
        <w:numId w:val="17"/>
      </w:numPr>
      <w:contextualSpacing/>
    </w:pPr>
  </w:style>
  <w:style w:type="paragraph" w:styleId="CommentSubject">
    <w:name w:val="annotation subject"/>
    <w:basedOn w:val="CommentText"/>
    <w:next w:val="CommentText"/>
    <w:link w:val="CommentSubjectChar"/>
    <w:uiPriority w:val="99"/>
    <w:semiHidden/>
    <w:unhideWhenUsed/>
    <w:rsid w:val="00774186"/>
    <w:rPr>
      <w:b/>
      <w:bCs/>
    </w:rPr>
  </w:style>
  <w:style w:type="character" w:customStyle="1" w:styleId="CommentSubjectChar">
    <w:name w:val="Comment Subject Char"/>
    <w:basedOn w:val="CommentTextChar"/>
    <w:link w:val="CommentSubject"/>
    <w:uiPriority w:val="99"/>
    <w:semiHidden/>
    <w:rsid w:val="00774186"/>
    <w:rPr>
      <w:b/>
      <w:bCs/>
      <w:sz w:val="20"/>
      <w:szCs w:val="20"/>
    </w:rPr>
  </w:style>
  <w:style w:type="character" w:styleId="Hyperlink">
    <w:name w:val="Hyperlink"/>
    <w:basedOn w:val="DefaultParagraphFont"/>
    <w:uiPriority w:val="99"/>
    <w:unhideWhenUsed/>
    <w:rsid w:val="00116195"/>
    <w:rPr>
      <w:color w:val="0563C1" w:themeColor="hyperlink"/>
      <w:u w:val="single"/>
    </w:rPr>
  </w:style>
  <w:style w:type="character" w:styleId="UnresolvedMention">
    <w:name w:val="Unresolved Mention"/>
    <w:basedOn w:val="DefaultParagraphFont"/>
    <w:uiPriority w:val="99"/>
    <w:semiHidden/>
    <w:unhideWhenUsed/>
    <w:rsid w:val="00116195"/>
    <w:rPr>
      <w:color w:val="605E5C"/>
      <w:shd w:val="clear" w:color="auto" w:fill="E1DFDD"/>
    </w:rPr>
  </w:style>
  <w:style w:type="paragraph" w:styleId="Revision">
    <w:name w:val="Revision"/>
    <w:hidden/>
    <w:uiPriority w:val="99"/>
    <w:semiHidden/>
    <w:rsid w:val="000642E3"/>
    <w:pPr>
      <w:spacing w:after="0" w:line="240" w:lineRule="auto"/>
    </w:pPr>
  </w:style>
  <w:style w:type="paragraph" w:styleId="Header">
    <w:name w:val="header"/>
    <w:basedOn w:val="Normal"/>
    <w:link w:val="HeaderChar"/>
    <w:uiPriority w:val="99"/>
    <w:unhideWhenUsed/>
    <w:rsid w:val="000E6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83E"/>
  </w:style>
  <w:style w:type="paragraph" w:styleId="Footer">
    <w:name w:val="footer"/>
    <w:basedOn w:val="Normal"/>
    <w:link w:val="FooterChar"/>
    <w:uiPriority w:val="99"/>
    <w:unhideWhenUsed/>
    <w:rsid w:val="000E6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83E"/>
  </w:style>
  <w:style w:type="character" w:customStyle="1" w:styleId="Heading3Char">
    <w:name w:val="Heading 3 Char"/>
    <w:basedOn w:val="DefaultParagraphFont"/>
    <w:link w:val="Heading3"/>
    <w:uiPriority w:val="9"/>
    <w:semiHidden/>
    <w:rsid w:val="00F7121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339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3905"/>
    <w:rPr>
      <w:sz w:val="20"/>
      <w:szCs w:val="20"/>
    </w:rPr>
  </w:style>
  <w:style w:type="character" w:styleId="FootnoteReference">
    <w:name w:val="footnote reference"/>
    <w:basedOn w:val="DefaultParagraphFont"/>
    <w:uiPriority w:val="99"/>
    <w:semiHidden/>
    <w:unhideWhenUsed/>
    <w:rsid w:val="00F33905"/>
    <w:rPr>
      <w:vertAlign w:val="superscript"/>
    </w:rPr>
  </w:style>
  <w:style w:type="character" w:styleId="Strong">
    <w:name w:val="Strong"/>
    <w:basedOn w:val="DefaultParagraphFont"/>
    <w:uiPriority w:val="22"/>
    <w:qFormat/>
    <w:rsid w:val="00D85676"/>
    <w:rPr>
      <w:b/>
      <w:bCs/>
    </w:rPr>
  </w:style>
  <w:style w:type="character" w:customStyle="1" w:styleId="Heading2Char">
    <w:name w:val="Heading 2 Char"/>
    <w:basedOn w:val="DefaultParagraphFont"/>
    <w:link w:val="Heading2"/>
    <w:uiPriority w:val="9"/>
    <w:semiHidden/>
    <w:rsid w:val="00A274D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86901">
      <w:bodyDiv w:val="1"/>
      <w:marLeft w:val="0"/>
      <w:marRight w:val="0"/>
      <w:marTop w:val="0"/>
      <w:marBottom w:val="0"/>
      <w:divBdr>
        <w:top w:val="none" w:sz="0" w:space="0" w:color="auto"/>
        <w:left w:val="none" w:sz="0" w:space="0" w:color="auto"/>
        <w:bottom w:val="none" w:sz="0" w:space="0" w:color="auto"/>
        <w:right w:val="none" w:sz="0" w:space="0" w:color="auto"/>
      </w:divBdr>
    </w:div>
    <w:div w:id="88427471">
      <w:bodyDiv w:val="1"/>
      <w:marLeft w:val="0"/>
      <w:marRight w:val="0"/>
      <w:marTop w:val="0"/>
      <w:marBottom w:val="0"/>
      <w:divBdr>
        <w:top w:val="none" w:sz="0" w:space="0" w:color="auto"/>
        <w:left w:val="none" w:sz="0" w:space="0" w:color="auto"/>
        <w:bottom w:val="none" w:sz="0" w:space="0" w:color="auto"/>
        <w:right w:val="none" w:sz="0" w:space="0" w:color="auto"/>
      </w:divBdr>
    </w:div>
    <w:div w:id="129400783">
      <w:bodyDiv w:val="1"/>
      <w:marLeft w:val="0"/>
      <w:marRight w:val="0"/>
      <w:marTop w:val="0"/>
      <w:marBottom w:val="0"/>
      <w:divBdr>
        <w:top w:val="none" w:sz="0" w:space="0" w:color="auto"/>
        <w:left w:val="none" w:sz="0" w:space="0" w:color="auto"/>
        <w:bottom w:val="none" w:sz="0" w:space="0" w:color="auto"/>
        <w:right w:val="none" w:sz="0" w:space="0" w:color="auto"/>
      </w:divBdr>
    </w:div>
    <w:div w:id="130444540">
      <w:bodyDiv w:val="1"/>
      <w:marLeft w:val="0"/>
      <w:marRight w:val="0"/>
      <w:marTop w:val="0"/>
      <w:marBottom w:val="0"/>
      <w:divBdr>
        <w:top w:val="none" w:sz="0" w:space="0" w:color="auto"/>
        <w:left w:val="none" w:sz="0" w:space="0" w:color="auto"/>
        <w:bottom w:val="none" w:sz="0" w:space="0" w:color="auto"/>
        <w:right w:val="none" w:sz="0" w:space="0" w:color="auto"/>
      </w:divBdr>
    </w:div>
    <w:div w:id="364794425">
      <w:bodyDiv w:val="1"/>
      <w:marLeft w:val="0"/>
      <w:marRight w:val="0"/>
      <w:marTop w:val="0"/>
      <w:marBottom w:val="0"/>
      <w:divBdr>
        <w:top w:val="none" w:sz="0" w:space="0" w:color="auto"/>
        <w:left w:val="none" w:sz="0" w:space="0" w:color="auto"/>
        <w:bottom w:val="none" w:sz="0" w:space="0" w:color="auto"/>
        <w:right w:val="none" w:sz="0" w:space="0" w:color="auto"/>
      </w:divBdr>
    </w:div>
    <w:div w:id="686297256">
      <w:bodyDiv w:val="1"/>
      <w:marLeft w:val="0"/>
      <w:marRight w:val="0"/>
      <w:marTop w:val="0"/>
      <w:marBottom w:val="0"/>
      <w:divBdr>
        <w:top w:val="none" w:sz="0" w:space="0" w:color="auto"/>
        <w:left w:val="none" w:sz="0" w:space="0" w:color="auto"/>
        <w:bottom w:val="none" w:sz="0" w:space="0" w:color="auto"/>
        <w:right w:val="none" w:sz="0" w:space="0" w:color="auto"/>
      </w:divBdr>
      <w:divsChild>
        <w:div w:id="1035891734">
          <w:marLeft w:val="1080"/>
          <w:marRight w:val="0"/>
          <w:marTop w:val="100"/>
          <w:marBottom w:val="0"/>
          <w:divBdr>
            <w:top w:val="none" w:sz="0" w:space="0" w:color="auto"/>
            <w:left w:val="none" w:sz="0" w:space="0" w:color="auto"/>
            <w:bottom w:val="none" w:sz="0" w:space="0" w:color="auto"/>
            <w:right w:val="none" w:sz="0" w:space="0" w:color="auto"/>
          </w:divBdr>
        </w:div>
        <w:div w:id="1283339420">
          <w:marLeft w:val="1080"/>
          <w:marRight w:val="0"/>
          <w:marTop w:val="100"/>
          <w:marBottom w:val="0"/>
          <w:divBdr>
            <w:top w:val="none" w:sz="0" w:space="0" w:color="auto"/>
            <w:left w:val="none" w:sz="0" w:space="0" w:color="auto"/>
            <w:bottom w:val="none" w:sz="0" w:space="0" w:color="auto"/>
            <w:right w:val="none" w:sz="0" w:space="0" w:color="auto"/>
          </w:divBdr>
        </w:div>
        <w:div w:id="1352799168">
          <w:marLeft w:val="1080"/>
          <w:marRight w:val="0"/>
          <w:marTop w:val="100"/>
          <w:marBottom w:val="0"/>
          <w:divBdr>
            <w:top w:val="none" w:sz="0" w:space="0" w:color="auto"/>
            <w:left w:val="none" w:sz="0" w:space="0" w:color="auto"/>
            <w:bottom w:val="none" w:sz="0" w:space="0" w:color="auto"/>
            <w:right w:val="none" w:sz="0" w:space="0" w:color="auto"/>
          </w:divBdr>
        </w:div>
      </w:divsChild>
    </w:div>
    <w:div w:id="696780742">
      <w:bodyDiv w:val="1"/>
      <w:marLeft w:val="0"/>
      <w:marRight w:val="0"/>
      <w:marTop w:val="0"/>
      <w:marBottom w:val="0"/>
      <w:divBdr>
        <w:top w:val="none" w:sz="0" w:space="0" w:color="auto"/>
        <w:left w:val="none" w:sz="0" w:space="0" w:color="auto"/>
        <w:bottom w:val="none" w:sz="0" w:space="0" w:color="auto"/>
        <w:right w:val="none" w:sz="0" w:space="0" w:color="auto"/>
      </w:divBdr>
      <w:divsChild>
        <w:div w:id="302658403">
          <w:marLeft w:val="1080"/>
          <w:marRight w:val="0"/>
          <w:marTop w:val="100"/>
          <w:marBottom w:val="0"/>
          <w:divBdr>
            <w:top w:val="none" w:sz="0" w:space="0" w:color="auto"/>
            <w:left w:val="none" w:sz="0" w:space="0" w:color="auto"/>
            <w:bottom w:val="none" w:sz="0" w:space="0" w:color="auto"/>
            <w:right w:val="none" w:sz="0" w:space="0" w:color="auto"/>
          </w:divBdr>
        </w:div>
        <w:div w:id="1762409454">
          <w:marLeft w:val="1080"/>
          <w:marRight w:val="0"/>
          <w:marTop w:val="100"/>
          <w:marBottom w:val="0"/>
          <w:divBdr>
            <w:top w:val="none" w:sz="0" w:space="0" w:color="auto"/>
            <w:left w:val="none" w:sz="0" w:space="0" w:color="auto"/>
            <w:bottom w:val="none" w:sz="0" w:space="0" w:color="auto"/>
            <w:right w:val="none" w:sz="0" w:space="0" w:color="auto"/>
          </w:divBdr>
        </w:div>
      </w:divsChild>
    </w:div>
    <w:div w:id="725568924">
      <w:bodyDiv w:val="1"/>
      <w:marLeft w:val="0"/>
      <w:marRight w:val="0"/>
      <w:marTop w:val="0"/>
      <w:marBottom w:val="0"/>
      <w:divBdr>
        <w:top w:val="none" w:sz="0" w:space="0" w:color="auto"/>
        <w:left w:val="none" w:sz="0" w:space="0" w:color="auto"/>
        <w:bottom w:val="none" w:sz="0" w:space="0" w:color="auto"/>
        <w:right w:val="none" w:sz="0" w:space="0" w:color="auto"/>
      </w:divBdr>
    </w:div>
    <w:div w:id="956327929">
      <w:bodyDiv w:val="1"/>
      <w:marLeft w:val="0"/>
      <w:marRight w:val="0"/>
      <w:marTop w:val="0"/>
      <w:marBottom w:val="0"/>
      <w:divBdr>
        <w:top w:val="none" w:sz="0" w:space="0" w:color="auto"/>
        <w:left w:val="none" w:sz="0" w:space="0" w:color="auto"/>
        <w:bottom w:val="none" w:sz="0" w:space="0" w:color="auto"/>
        <w:right w:val="none" w:sz="0" w:space="0" w:color="auto"/>
      </w:divBdr>
    </w:div>
    <w:div w:id="979310626">
      <w:bodyDiv w:val="1"/>
      <w:marLeft w:val="0"/>
      <w:marRight w:val="0"/>
      <w:marTop w:val="0"/>
      <w:marBottom w:val="0"/>
      <w:divBdr>
        <w:top w:val="none" w:sz="0" w:space="0" w:color="auto"/>
        <w:left w:val="none" w:sz="0" w:space="0" w:color="auto"/>
        <w:bottom w:val="none" w:sz="0" w:space="0" w:color="auto"/>
        <w:right w:val="none" w:sz="0" w:space="0" w:color="auto"/>
      </w:divBdr>
      <w:divsChild>
        <w:div w:id="605960648">
          <w:marLeft w:val="1080"/>
          <w:marRight w:val="0"/>
          <w:marTop w:val="100"/>
          <w:marBottom w:val="0"/>
          <w:divBdr>
            <w:top w:val="none" w:sz="0" w:space="0" w:color="auto"/>
            <w:left w:val="none" w:sz="0" w:space="0" w:color="auto"/>
            <w:bottom w:val="none" w:sz="0" w:space="0" w:color="auto"/>
            <w:right w:val="none" w:sz="0" w:space="0" w:color="auto"/>
          </w:divBdr>
        </w:div>
        <w:div w:id="694429310">
          <w:marLeft w:val="1080"/>
          <w:marRight w:val="0"/>
          <w:marTop w:val="100"/>
          <w:marBottom w:val="0"/>
          <w:divBdr>
            <w:top w:val="none" w:sz="0" w:space="0" w:color="auto"/>
            <w:left w:val="none" w:sz="0" w:space="0" w:color="auto"/>
            <w:bottom w:val="none" w:sz="0" w:space="0" w:color="auto"/>
            <w:right w:val="none" w:sz="0" w:space="0" w:color="auto"/>
          </w:divBdr>
        </w:div>
        <w:div w:id="1173179154">
          <w:marLeft w:val="1080"/>
          <w:marRight w:val="0"/>
          <w:marTop w:val="100"/>
          <w:marBottom w:val="0"/>
          <w:divBdr>
            <w:top w:val="none" w:sz="0" w:space="0" w:color="auto"/>
            <w:left w:val="none" w:sz="0" w:space="0" w:color="auto"/>
            <w:bottom w:val="none" w:sz="0" w:space="0" w:color="auto"/>
            <w:right w:val="none" w:sz="0" w:space="0" w:color="auto"/>
          </w:divBdr>
        </w:div>
        <w:div w:id="1211501910">
          <w:marLeft w:val="1080"/>
          <w:marRight w:val="0"/>
          <w:marTop w:val="100"/>
          <w:marBottom w:val="0"/>
          <w:divBdr>
            <w:top w:val="none" w:sz="0" w:space="0" w:color="auto"/>
            <w:left w:val="none" w:sz="0" w:space="0" w:color="auto"/>
            <w:bottom w:val="none" w:sz="0" w:space="0" w:color="auto"/>
            <w:right w:val="none" w:sz="0" w:space="0" w:color="auto"/>
          </w:divBdr>
        </w:div>
        <w:div w:id="1416434320">
          <w:marLeft w:val="1080"/>
          <w:marRight w:val="0"/>
          <w:marTop w:val="100"/>
          <w:marBottom w:val="0"/>
          <w:divBdr>
            <w:top w:val="none" w:sz="0" w:space="0" w:color="auto"/>
            <w:left w:val="none" w:sz="0" w:space="0" w:color="auto"/>
            <w:bottom w:val="none" w:sz="0" w:space="0" w:color="auto"/>
            <w:right w:val="none" w:sz="0" w:space="0" w:color="auto"/>
          </w:divBdr>
        </w:div>
        <w:div w:id="1523932228">
          <w:marLeft w:val="1080"/>
          <w:marRight w:val="0"/>
          <w:marTop w:val="100"/>
          <w:marBottom w:val="0"/>
          <w:divBdr>
            <w:top w:val="none" w:sz="0" w:space="0" w:color="auto"/>
            <w:left w:val="none" w:sz="0" w:space="0" w:color="auto"/>
            <w:bottom w:val="none" w:sz="0" w:space="0" w:color="auto"/>
            <w:right w:val="none" w:sz="0" w:space="0" w:color="auto"/>
          </w:divBdr>
        </w:div>
        <w:div w:id="1770469181">
          <w:marLeft w:val="1080"/>
          <w:marRight w:val="0"/>
          <w:marTop w:val="100"/>
          <w:marBottom w:val="0"/>
          <w:divBdr>
            <w:top w:val="none" w:sz="0" w:space="0" w:color="auto"/>
            <w:left w:val="none" w:sz="0" w:space="0" w:color="auto"/>
            <w:bottom w:val="none" w:sz="0" w:space="0" w:color="auto"/>
            <w:right w:val="none" w:sz="0" w:space="0" w:color="auto"/>
          </w:divBdr>
        </w:div>
      </w:divsChild>
    </w:div>
    <w:div w:id="1235092331">
      <w:bodyDiv w:val="1"/>
      <w:marLeft w:val="0"/>
      <w:marRight w:val="0"/>
      <w:marTop w:val="0"/>
      <w:marBottom w:val="0"/>
      <w:divBdr>
        <w:top w:val="none" w:sz="0" w:space="0" w:color="auto"/>
        <w:left w:val="none" w:sz="0" w:space="0" w:color="auto"/>
        <w:bottom w:val="none" w:sz="0" w:space="0" w:color="auto"/>
        <w:right w:val="none" w:sz="0" w:space="0" w:color="auto"/>
      </w:divBdr>
    </w:div>
    <w:div w:id="1335913157">
      <w:bodyDiv w:val="1"/>
      <w:marLeft w:val="0"/>
      <w:marRight w:val="0"/>
      <w:marTop w:val="0"/>
      <w:marBottom w:val="0"/>
      <w:divBdr>
        <w:top w:val="none" w:sz="0" w:space="0" w:color="auto"/>
        <w:left w:val="none" w:sz="0" w:space="0" w:color="auto"/>
        <w:bottom w:val="none" w:sz="0" w:space="0" w:color="auto"/>
        <w:right w:val="none" w:sz="0" w:space="0" w:color="auto"/>
      </w:divBdr>
      <w:divsChild>
        <w:div w:id="15471813">
          <w:marLeft w:val="0"/>
          <w:marRight w:val="0"/>
          <w:marTop w:val="0"/>
          <w:marBottom w:val="0"/>
          <w:divBdr>
            <w:top w:val="none" w:sz="0" w:space="0" w:color="auto"/>
            <w:left w:val="none" w:sz="0" w:space="0" w:color="auto"/>
            <w:bottom w:val="none" w:sz="0" w:space="0" w:color="auto"/>
            <w:right w:val="none" w:sz="0" w:space="0" w:color="auto"/>
          </w:divBdr>
        </w:div>
      </w:divsChild>
    </w:div>
    <w:div w:id="1596327135">
      <w:bodyDiv w:val="1"/>
      <w:marLeft w:val="0"/>
      <w:marRight w:val="0"/>
      <w:marTop w:val="0"/>
      <w:marBottom w:val="0"/>
      <w:divBdr>
        <w:top w:val="none" w:sz="0" w:space="0" w:color="auto"/>
        <w:left w:val="none" w:sz="0" w:space="0" w:color="auto"/>
        <w:bottom w:val="none" w:sz="0" w:space="0" w:color="auto"/>
        <w:right w:val="none" w:sz="0" w:space="0" w:color="auto"/>
      </w:divBdr>
    </w:div>
    <w:div w:id="1613903131">
      <w:bodyDiv w:val="1"/>
      <w:marLeft w:val="0"/>
      <w:marRight w:val="0"/>
      <w:marTop w:val="0"/>
      <w:marBottom w:val="0"/>
      <w:divBdr>
        <w:top w:val="none" w:sz="0" w:space="0" w:color="auto"/>
        <w:left w:val="none" w:sz="0" w:space="0" w:color="auto"/>
        <w:bottom w:val="none" w:sz="0" w:space="0" w:color="auto"/>
        <w:right w:val="none" w:sz="0" w:space="0" w:color="auto"/>
      </w:divBdr>
    </w:div>
    <w:div w:id="1719552619">
      <w:bodyDiv w:val="1"/>
      <w:marLeft w:val="0"/>
      <w:marRight w:val="0"/>
      <w:marTop w:val="0"/>
      <w:marBottom w:val="0"/>
      <w:divBdr>
        <w:top w:val="none" w:sz="0" w:space="0" w:color="auto"/>
        <w:left w:val="none" w:sz="0" w:space="0" w:color="auto"/>
        <w:bottom w:val="none" w:sz="0" w:space="0" w:color="auto"/>
        <w:right w:val="none" w:sz="0" w:space="0" w:color="auto"/>
      </w:divBdr>
    </w:div>
    <w:div w:id="1797406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07762-B086-45AB-96CA-FE232C32E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1848</Words>
  <Characters>10538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Lange</dc:creator>
  <cp:keywords/>
  <dc:description/>
  <cp:lastModifiedBy>Jelena Jezdovic</cp:lastModifiedBy>
  <cp:revision>2</cp:revision>
  <cp:lastPrinted>2024-07-10T09:56:00Z</cp:lastPrinted>
  <dcterms:created xsi:type="dcterms:W3CDTF">2026-03-16T06:26:00Z</dcterms:created>
  <dcterms:modified xsi:type="dcterms:W3CDTF">2026-03-16T06:26:00Z</dcterms:modified>
</cp:coreProperties>
</file>