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32"/>
          <w:szCs w:val="32"/>
        </w:rPr>
      </w:pPr>
      <w:r w:rsidDel="00000000" w:rsidR="00000000" w:rsidRPr="00000000">
        <w:rPr>
          <w:sz w:val="32"/>
          <w:szCs w:val="32"/>
          <w:rtl w:val="0"/>
        </w:rPr>
        <w:t xml:space="preserve">Terms of Reference: Working Group Stocktake on IASC Guidelines on Inclusion of Persons with Disabilities</w:t>
      </w:r>
    </w:p>
    <w:p w:rsidR="00000000" w:rsidDel="00000000" w:rsidP="00000000" w:rsidRDefault="00000000" w:rsidRPr="00000000" w14:paraId="00000002">
      <w:pPr>
        <w:pStyle w:val="Heading2"/>
        <w:rPr>
          <w:sz w:val="28"/>
          <w:szCs w:val="28"/>
        </w:rPr>
      </w:pPr>
      <w:r w:rsidDel="00000000" w:rsidR="00000000" w:rsidRPr="00000000">
        <w:rPr>
          <w:rFonts w:ascii="Calibri" w:cs="Calibri" w:eastAsia="Calibri" w:hAnsi="Calibri"/>
          <w:color w:val="2e75b5"/>
          <w:sz w:val="28"/>
          <w:szCs w:val="28"/>
          <w:rtl w:val="0"/>
        </w:rPr>
        <w:t xml:space="preserve">Background</w:t>
      </w:r>
      <w:r w:rsidDel="00000000" w:rsidR="00000000" w:rsidRPr="00000000">
        <w:rPr>
          <w:sz w:val="28"/>
          <w:szCs w:val="28"/>
          <w:rtl w:val="0"/>
        </w:rPr>
        <w:t xml:space="preserve">:</w:t>
      </w:r>
    </w:p>
    <w:p w:rsidR="00000000" w:rsidDel="00000000" w:rsidP="00000000" w:rsidRDefault="00000000" w:rsidRPr="00000000" w14:paraId="00000003">
      <w:pPr>
        <w:rPr/>
      </w:pPr>
      <w:r w:rsidDel="00000000" w:rsidR="00000000" w:rsidRPr="00000000">
        <w:rPr>
          <w:rtl w:val="0"/>
        </w:rPr>
        <w:t xml:space="preserve">In 2016, the IASC commissioned the development of the IASC Guidelines on Inclusion of Persons with Disabilities in humanitarian action</w:t>
      </w:r>
      <w:r w:rsidDel="00000000" w:rsidR="00000000" w:rsidRPr="00000000">
        <w:rPr>
          <w:vertAlign w:val="superscript"/>
        </w:rPr>
        <w:footnoteReference w:customMarkFollows="0" w:id="0"/>
      </w:r>
      <w:r w:rsidDel="00000000" w:rsidR="00000000" w:rsidRPr="00000000">
        <w:rPr>
          <w:rtl w:val="0"/>
        </w:rPr>
        <w:t xml:space="preserve"> to contribute to addressing gaps in meaningful participation and access of persons with disabilities to humanitarian action. Over three years, a IASC Task Force, setup for the purpose of developing this guideline, facilitated its development and led a global process of consultation with humanitarian actors and representatives of persons with disabilities affected by humanitarian emergencies at its centre. This inter-agency collaboration brought together Organization of Persons with Disabilities, UN Agencies, Governments, Humanitarian Leadership, cluster and sector coordinators, researchers as well as programmers to review and identify key evidence, good practice and exchange to come up with the IASC Guidelines on disability inclusion. The process of its development was supported by more than five institutional donors</w:t>
      </w:r>
      <w:r w:rsidDel="00000000" w:rsidR="00000000" w:rsidRPr="00000000">
        <w:rPr>
          <w:vertAlign w:val="superscript"/>
        </w:rPr>
        <w:footnoteReference w:customMarkFollows="0" w:id="1"/>
      </w:r>
      <w:r w:rsidDel="00000000" w:rsidR="00000000" w:rsidRPr="00000000">
        <w:rPr>
          <w:rtl w:val="0"/>
        </w:rPr>
        <w:t xml:space="preserve">. It was launched at the end of 2019 and has four objectives: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practical guidance on including persons with disabilities in humanitarian programming and coordination,</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Strengthen capacity among stakeholders to develop and implement quality programmes that are inclusive of persons with disabilities,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Describe the roles and responsibilities of humanitarian stakeholders to include persons with disabilities in humanitarian action, and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and improve the participation of persons with disabilities and organizations of persons with disabilities in preparedness, response and recovery. </w:t>
      </w:r>
    </w:p>
    <w:p w:rsidR="00000000" w:rsidDel="00000000" w:rsidP="00000000" w:rsidRDefault="00000000" w:rsidRPr="00000000" w14:paraId="00000008">
      <w:pPr>
        <w:rPr/>
      </w:pPr>
      <w:r w:rsidDel="00000000" w:rsidR="00000000" w:rsidRPr="00000000">
        <w:rPr>
          <w:rtl w:val="0"/>
        </w:rPr>
        <w:t xml:space="preserve">Since the launch of the IASC Guidelines in 2019, some advances were made with regards to the uptake of the considerations from the Guidelines in different sectors and in responsibilities at individual and inter-agency agencies’ level. The Disability Reference Group (DRG) is now launching a stock take to assess progress made and identify key gaps and challenges.</w:t>
      </w:r>
    </w:p>
    <w:p w:rsidR="00000000" w:rsidDel="00000000" w:rsidP="00000000" w:rsidRDefault="00000000" w:rsidRPr="00000000" w14:paraId="00000009">
      <w:pPr>
        <w:rPr/>
      </w:pPr>
      <w:r w:rsidDel="00000000" w:rsidR="00000000" w:rsidRPr="00000000">
        <w:rPr>
          <w:rtl w:val="0"/>
        </w:rPr>
        <w:t xml:space="preserve">Given the severity of needs experienced by persons with disabilities and their households during crisis, the increase in intensity and duration of humanitarian crises and therefore increasing number of persons with disabilities affected, there is renewed urgency to ensure and accelerate action towards a disability-inclusive programming and coordination at global and most importantly at local level. </w:t>
      </w:r>
    </w:p>
    <w:p w:rsidR="00000000" w:rsidDel="00000000" w:rsidP="00000000" w:rsidRDefault="00000000" w:rsidRPr="00000000" w14:paraId="0000000A">
      <w:pPr>
        <w:rPr/>
      </w:pPr>
      <w:r w:rsidDel="00000000" w:rsidR="00000000" w:rsidRPr="00000000">
        <w:rPr>
          <w:rtl w:val="0"/>
        </w:rPr>
        <w:t xml:space="preserve">Additionally, given the humanitarian reset</w:t>
      </w:r>
      <w:r w:rsidDel="00000000" w:rsidR="00000000" w:rsidRPr="00000000">
        <w:rPr>
          <w:vertAlign w:val="superscript"/>
        </w:rPr>
        <w:footnoteReference w:customMarkFollows="0" w:id="2"/>
      </w:r>
      <w:r w:rsidDel="00000000" w:rsidR="00000000" w:rsidRPr="00000000">
        <w:rPr>
          <w:rtl w:val="0"/>
        </w:rPr>
        <w:t xml:space="preserve"> and increasing  resource constraints, this stocktake aims to understand what essential efforts will be required in the next years to ensure persons with disabilities are reached by humanitarian responses and their needs met, how remaining gaps in disability inclusion can be addressed, what role different actors, including OPDs can play therein, and how OPDs can effectively contribute to and guide decision-making processes related to persons with disabilities in humanitarian responses. </w:t>
      </w:r>
    </w:p>
    <w:p w:rsidR="00000000" w:rsidDel="00000000" w:rsidP="00000000" w:rsidRDefault="00000000" w:rsidRPr="00000000" w14:paraId="0000000B">
      <w:pPr>
        <w:rPr/>
      </w:pPr>
      <w:r w:rsidDel="00000000" w:rsidR="00000000" w:rsidRPr="00000000">
        <w:rPr>
          <w:rtl w:val="0"/>
        </w:rPr>
        <w:t xml:space="preserve">Hence, the stocktake is required to understand how far the IASC guidelines on inclusion of persons with disabilities have been taken up, by who (type of humanitarian actor, sector), how, for what and to what impact, and identify hindering and supporting factors towards reaching the original objectives. This will help operational actors to close remaining gaps and identify key priorities and reach the most at risk, in a time of major shifts, including resource constraints and simplification of the humanitarian system. Given the focus in the humanitarian reset on localization, this stocktake will include a particular focus on the role of local actors. For more details on the stocktake, see the respective TOR.</w:t>
      </w:r>
    </w:p>
    <w:p w:rsidR="00000000" w:rsidDel="00000000" w:rsidP="00000000" w:rsidRDefault="00000000" w:rsidRPr="00000000" w14:paraId="0000000C">
      <w:pPr>
        <w:rPr/>
      </w:pPr>
      <w:r w:rsidDel="00000000" w:rsidR="00000000" w:rsidRPr="00000000">
        <w:rPr>
          <w:rtl w:val="0"/>
        </w:rPr>
        <w:t xml:space="preserve">A temporary working group is required to advise and steer the process of the stocktake. </w:t>
      </w:r>
    </w:p>
    <w:p w:rsidR="00000000" w:rsidDel="00000000" w:rsidP="00000000" w:rsidRDefault="00000000" w:rsidRPr="00000000" w14:paraId="0000000D">
      <w:pPr>
        <w:pStyle w:val="Heading2"/>
        <w:rPr>
          <w:sz w:val="28"/>
          <w:szCs w:val="28"/>
        </w:rPr>
      </w:pPr>
      <w:r w:rsidDel="00000000" w:rsidR="00000000" w:rsidRPr="00000000">
        <w:rPr>
          <w:sz w:val="28"/>
          <w:szCs w:val="28"/>
          <w:rtl w:val="0"/>
        </w:rPr>
        <w:t xml:space="preserve">Objective: </w:t>
      </w:r>
    </w:p>
    <w:p w:rsidR="00000000" w:rsidDel="00000000" w:rsidP="00000000" w:rsidRDefault="00000000" w:rsidRPr="00000000" w14:paraId="0000000E">
      <w:pPr>
        <w:rPr/>
      </w:pPr>
      <w:r w:rsidDel="00000000" w:rsidR="00000000" w:rsidRPr="00000000">
        <w:rPr>
          <w:rtl w:val="0"/>
        </w:rPr>
        <w:t xml:space="preserve">This working group will be formed to accompany the process of the stocktake technically with advice and operational outreach. </w:t>
      </w:r>
    </w:p>
    <w:p w:rsidR="00000000" w:rsidDel="00000000" w:rsidP="00000000" w:rsidRDefault="00000000" w:rsidRPr="00000000" w14:paraId="0000000F">
      <w:pPr>
        <w:pStyle w:val="Heading2"/>
        <w:rPr>
          <w:sz w:val="28"/>
          <w:szCs w:val="28"/>
        </w:rPr>
      </w:pPr>
      <w:r w:rsidDel="00000000" w:rsidR="00000000" w:rsidRPr="00000000">
        <w:rPr>
          <w:sz w:val="28"/>
          <w:szCs w:val="28"/>
          <w:rtl w:val="0"/>
        </w:rPr>
        <w:t xml:space="preserve">Members of the Working Group:</w:t>
      </w:r>
    </w:p>
    <w:p w:rsidR="00000000" w:rsidDel="00000000" w:rsidP="00000000" w:rsidRDefault="00000000" w:rsidRPr="00000000" w14:paraId="00000010">
      <w:pPr>
        <w:jc w:val="both"/>
        <w:rPr/>
      </w:pPr>
      <w:r w:rsidDel="00000000" w:rsidR="00000000" w:rsidRPr="00000000">
        <w:rPr>
          <w:rtl w:val="0"/>
        </w:rPr>
        <w:t xml:space="preserve">Working group members will include DRG members, including at minimum two UN entities, two OPDs and two NGO reflecting the composition of the DRG and other members who have worked with the relevant stakeholders on implementing or operationalizing the IASC Guidelines, such as governments, humanitarian leadership at global and response level, </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coordination actors, i.e. Clusters, ABC and sector leads, donors, </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humanitarian organizations working at local and international level, or </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OPDs. </w:t>
      </w:r>
    </w:p>
    <w:p w:rsidR="00000000" w:rsidDel="00000000" w:rsidP="00000000" w:rsidRDefault="00000000" w:rsidRPr="00000000" w14:paraId="00000014">
      <w:pPr>
        <w:pStyle w:val="Heading2"/>
        <w:rPr>
          <w:sz w:val="28"/>
          <w:szCs w:val="28"/>
        </w:rPr>
      </w:pPr>
      <w:r w:rsidDel="00000000" w:rsidR="00000000" w:rsidRPr="00000000">
        <w:rPr>
          <w:sz w:val="28"/>
          <w:szCs w:val="28"/>
          <w:rtl w:val="0"/>
        </w:rPr>
        <w:t xml:space="preserve">Modalities of Work: </w:t>
      </w:r>
    </w:p>
    <w:p w:rsidR="00000000" w:rsidDel="00000000" w:rsidP="00000000" w:rsidRDefault="00000000" w:rsidRPr="00000000" w14:paraId="00000015">
      <w:pPr>
        <w:rPr/>
      </w:pPr>
      <w:r w:rsidDel="00000000" w:rsidR="00000000" w:rsidRPr="00000000">
        <w:rPr>
          <w:rtl w:val="0"/>
        </w:rPr>
        <w:t xml:space="preserve">The WG will be established for the estimated duration of the stocktake, from October 2025 – October 2026 (TBC), to accompany its process technically and with operational advice with a particular focus on key junctions of the process: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 of draft Terms of Reference),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advice and guidance during the selection of the consultancy,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input during and support the process of selecting key policies, key stakeholders for interviews, and three humanitarian contexts for case studies,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feedback for the methodolog</w:t>
      </w:r>
      <w:r w:rsidDel="00000000" w:rsidR="00000000" w:rsidRPr="00000000">
        <w:rPr>
          <w:rtl w:val="0"/>
        </w:rPr>
        <w:t xml:space="preserve">y and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finalization of findings, and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to the dissemination and uptake strategy of the findings.</w:t>
      </w:r>
    </w:p>
    <w:p w:rsidR="00000000" w:rsidDel="00000000" w:rsidP="00000000" w:rsidRDefault="00000000" w:rsidRPr="00000000" w14:paraId="0000001B">
      <w:pPr>
        <w:jc w:val="both"/>
        <w:rPr/>
      </w:pPr>
      <w:r w:rsidDel="00000000" w:rsidR="00000000" w:rsidRPr="00000000">
        <w:rPr>
          <w:rtl w:val="0"/>
        </w:rPr>
        <w:t xml:space="preserve">The members are expected to provide feedback on process related deliverables through oral and/or written feedback. The work will be facilitated in English through online meetings that will focus on supporting the process of the stocktake and will be arranged as required to feed and advise the process. It is expected that meetings will be on average on a monthly basis and that working group members will be required to commit approximately 10 hours outside these meetings for work throughout the stocktake period. </w:t>
      </w:r>
    </w:p>
    <w:p w:rsidR="00000000" w:rsidDel="00000000" w:rsidP="00000000" w:rsidRDefault="00000000" w:rsidRPr="00000000" w14:paraId="0000001C">
      <w:pPr>
        <w:pStyle w:val="Heading2"/>
        <w:rPr>
          <w:sz w:val="28"/>
          <w:szCs w:val="28"/>
        </w:rPr>
      </w:pPr>
      <w:r w:rsidDel="00000000" w:rsidR="00000000" w:rsidRPr="00000000">
        <w:rPr>
          <w:sz w:val="28"/>
          <w:szCs w:val="28"/>
          <w:rtl w:val="0"/>
        </w:rPr>
        <w:t xml:space="preserve">Facilitation of the Working Group: </w:t>
      </w:r>
    </w:p>
    <w:p w:rsidR="00000000" w:rsidDel="00000000" w:rsidP="00000000" w:rsidRDefault="00000000" w:rsidRPr="00000000" w14:paraId="0000001D">
      <w:pPr>
        <w:rPr/>
      </w:pPr>
      <w:r w:rsidDel="00000000" w:rsidR="00000000" w:rsidRPr="00000000">
        <w:rPr>
          <w:rtl w:val="0"/>
        </w:rPr>
        <w:t xml:space="preserve">The DRG Co-Chairs and IASC Disability Inclusion Focal Point have the role to facilitate the Working Group, and the related work. </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Thereafter referred to as ‘the IASC Guideline on disability inclusion’ </w:t>
      </w:r>
    </w:p>
  </w:footnote>
  <w:footnote w:id="1">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The Australian Department of Foreign Affairs and Trade, the Australian Permanent Mission’s Permanent Development Fund, ECHO, Finnish Ministry of Foreign Affairs, German Federal Foreign Office, Luxembourg Ministry of Foreign Affairs</w:t>
      </w:r>
    </w:p>
  </w:footnote>
  <w:footnote w:id="2">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In the humanitarian reset, agreed inter-agency coordination, approaches and roles and responsibilities of humanitarian actors are reviewed, while at the same time most humanitarian actors are facing massively reduced financial resources to implement their mandates and support crisis affected population. Led by the Emergency Relief Coordinator, the humanitarian reset aims to transform the humanitarian system towards responses that are locally led, globally protected, efficient and effectively driven by people affected by crises.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2315845</wp:posOffset>
          </wp:positionH>
          <wp:positionV relativeFrom="paragraph">
            <wp:posOffset>-297179</wp:posOffset>
          </wp:positionV>
          <wp:extent cx="1051560" cy="743580"/>
          <wp:effectExtent b="0" l="0" r="0" t="0"/>
          <wp:wrapSquare wrapText="bothSides" distB="0" distT="0" distL="114300" distR="114300"/>
          <wp:docPr descr="DRG logo" id="1755385205" name="image1.jpg"/>
          <a:graphic>
            <a:graphicData uri="http://schemas.openxmlformats.org/drawingml/2006/picture">
              <pic:pic>
                <pic:nvPicPr>
                  <pic:cNvPr descr="DRG logo" id="0" name="image1.jpg"/>
                  <pic:cNvPicPr preferRelativeResize="0"/>
                </pic:nvPicPr>
                <pic:blipFill>
                  <a:blip r:embed="rId1"/>
                  <a:srcRect b="0" l="0" r="0" t="0"/>
                  <a:stretch>
                    <a:fillRect/>
                  </a:stretch>
                </pic:blipFill>
                <pic:spPr>
                  <a:xfrm>
                    <a:off x="0" y="0"/>
                    <a:ext cx="1051560" cy="74358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A23E7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23E7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23E7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23E72"/>
    <w:rPr>
      <w:rFonts w:asciiTheme="majorHAnsi" w:cstheme="majorBidi" w:eastAsiaTheme="majorEastAsia" w:hAnsiTheme="majorHAnsi"/>
      <w:color w:val="2e74b5" w:themeColor="accent1" w:themeShade="0000BF"/>
      <w:sz w:val="40"/>
      <w:szCs w:val="40"/>
    </w:rPr>
  </w:style>
  <w:style w:type="character" w:styleId="Heading2Char" w:customStyle="1">
    <w:name w:val="Heading 2 Char"/>
    <w:basedOn w:val="DefaultParagraphFont"/>
    <w:link w:val="Heading2"/>
    <w:uiPriority w:val="9"/>
    <w:rsid w:val="00A23E72"/>
    <w:rPr>
      <w:rFonts w:asciiTheme="majorHAnsi" w:cstheme="majorBidi" w:eastAsiaTheme="majorEastAsia" w:hAnsiTheme="majorHAnsi"/>
      <w:color w:val="2e74b5" w:themeColor="accent1" w:themeShade="0000BF"/>
      <w:sz w:val="32"/>
      <w:szCs w:val="32"/>
    </w:rPr>
  </w:style>
  <w:style w:type="character" w:styleId="Heading3Char" w:customStyle="1">
    <w:name w:val="Heading 3 Char"/>
    <w:basedOn w:val="DefaultParagraphFont"/>
    <w:link w:val="Heading3"/>
    <w:uiPriority w:val="9"/>
    <w:rsid w:val="00A23E72"/>
    <w:rPr>
      <w:rFonts w:cstheme="majorBidi" w:eastAsiaTheme="majorEastAsia"/>
      <w:color w:val="2e74b5" w:themeColor="accent1" w:themeShade="0000BF"/>
      <w:sz w:val="28"/>
      <w:szCs w:val="28"/>
    </w:rPr>
  </w:style>
  <w:style w:type="character" w:styleId="Heading4Char" w:customStyle="1">
    <w:name w:val="Heading 4 Char"/>
    <w:basedOn w:val="DefaultParagraphFont"/>
    <w:link w:val="Heading4"/>
    <w:uiPriority w:val="9"/>
    <w:semiHidden w:val="1"/>
    <w:rsid w:val="00A23E72"/>
    <w:rPr>
      <w:rFonts w:cstheme="majorBidi" w:eastAsiaTheme="majorEastAsia"/>
      <w:i w:val="1"/>
      <w:iCs w:val="1"/>
      <w:color w:val="2e74b5" w:themeColor="accent1" w:themeShade="0000BF"/>
    </w:rPr>
  </w:style>
  <w:style w:type="character" w:styleId="Heading5Char" w:customStyle="1">
    <w:name w:val="Heading 5 Char"/>
    <w:basedOn w:val="DefaultParagraphFont"/>
    <w:link w:val="Heading5"/>
    <w:uiPriority w:val="9"/>
    <w:semiHidden w:val="1"/>
    <w:rsid w:val="00A23E72"/>
    <w:rPr>
      <w:rFonts w:cstheme="majorBidi" w:eastAsiaTheme="majorEastAsia"/>
      <w:color w:val="2e74b5" w:themeColor="accent1" w:themeShade="0000BF"/>
    </w:rPr>
  </w:style>
  <w:style w:type="character" w:styleId="Heading6Char" w:customStyle="1">
    <w:name w:val="Heading 6 Char"/>
    <w:basedOn w:val="DefaultParagraphFont"/>
    <w:link w:val="Heading6"/>
    <w:uiPriority w:val="9"/>
    <w:semiHidden w:val="1"/>
    <w:rsid w:val="00A23E7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23E7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23E7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23E7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23E7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23E7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23E7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23E72"/>
    <w:rPr>
      <w:i w:val="1"/>
      <w:iCs w:val="1"/>
      <w:color w:val="404040" w:themeColor="text1" w:themeTint="0000BF"/>
    </w:rPr>
  </w:style>
  <w:style w:type="paragraph" w:styleId="ListParagraph">
    <w:name w:val="List Paragraph"/>
    <w:basedOn w:val="Normal"/>
    <w:uiPriority w:val="34"/>
    <w:qFormat w:val="1"/>
    <w:rsid w:val="00A23E72"/>
    <w:pPr>
      <w:ind w:left="720"/>
      <w:contextualSpacing w:val="1"/>
    </w:pPr>
  </w:style>
  <w:style w:type="character" w:styleId="IntenseEmphasis">
    <w:name w:val="Intense Emphasis"/>
    <w:basedOn w:val="DefaultParagraphFont"/>
    <w:uiPriority w:val="21"/>
    <w:qFormat w:val="1"/>
    <w:rsid w:val="00A23E72"/>
    <w:rPr>
      <w:i w:val="1"/>
      <w:iCs w:val="1"/>
      <w:color w:val="2e74b5" w:themeColor="accent1" w:themeShade="0000BF"/>
    </w:rPr>
  </w:style>
  <w:style w:type="paragraph" w:styleId="IntenseQuote">
    <w:name w:val="Intense Quote"/>
    <w:basedOn w:val="Normal"/>
    <w:next w:val="Normal"/>
    <w:link w:val="IntenseQuoteChar"/>
    <w:uiPriority w:val="30"/>
    <w:qFormat w:val="1"/>
    <w:rsid w:val="00A23E72"/>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IntenseQuoteChar" w:customStyle="1">
    <w:name w:val="Intense Quote Char"/>
    <w:basedOn w:val="DefaultParagraphFont"/>
    <w:link w:val="IntenseQuote"/>
    <w:uiPriority w:val="30"/>
    <w:rsid w:val="00A23E72"/>
    <w:rPr>
      <w:i w:val="1"/>
      <w:iCs w:val="1"/>
      <w:color w:val="2e74b5" w:themeColor="accent1" w:themeShade="0000BF"/>
    </w:rPr>
  </w:style>
  <w:style w:type="character" w:styleId="IntenseReference">
    <w:name w:val="Intense Reference"/>
    <w:basedOn w:val="DefaultParagraphFont"/>
    <w:uiPriority w:val="32"/>
    <w:qFormat w:val="1"/>
    <w:rsid w:val="00A23E72"/>
    <w:rPr>
      <w:b w:val="1"/>
      <w:bCs w:val="1"/>
      <w:smallCaps w:val="1"/>
      <w:color w:val="2e74b5" w:themeColor="accent1" w:themeShade="0000BF"/>
      <w:spacing w:val="5"/>
    </w:rPr>
  </w:style>
  <w:style w:type="paragraph" w:styleId="Header">
    <w:name w:val="header"/>
    <w:basedOn w:val="Normal"/>
    <w:link w:val="HeaderChar"/>
    <w:uiPriority w:val="99"/>
    <w:unhideWhenUsed w:val="1"/>
    <w:rsid w:val="00140138"/>
    <w:pPr>
      <w:tabs>
        <w:tab w:val="center" w:pos="4536"/>
        <w:tab w:val="right" w:pos="9072"/>
      </w:tabs>
      <w:spacing w:after="0" w:line="240" w:lineRule="auto"/>
    </w:pPr>
  </w:style>
  <w:style w:type="character" w:styleId="HeaderChar" w:customStyle="1">
    <w:name w:val="Header Char"/>
    <w:basedOn w:val="DefaultParagraphFont"/>
    <w:link w:val="Header"/>
    <w:uiPriority w:val="99"/>
    <w:rsid w:val="00140138"/>
  </w:style>
  <w:style w:type="paragraph" w:styleId="Footer">
    <w:name w:val="footer"/>
    <w:basedOn w:val="Normal"/>
    <w:link w:val="FooterChar"/>
    <w:uiPriority w:val="99"/>
    <w:unhideWhenUsed w:val="1"/>
    <w:rsid w:val="00140138"/>
    <w:pPr>
      <w:tabs>
        <w:tab w:val="center" w:pos="4536"/>
        <w:tab w:val="right" w:pos="9072"/>
      </w:tabs>
      <w:spacing w:after="0" w:line="240" w:lineRule="auto"/>
    </w:pPr>
  </w:style>
  <w:style w:type="character" w:styleId="FooterChar" w:customStyle="1">
    <w:name w:val="Footer Char"/>
    <w:basedOn w:val="DefaultParagraphFont"/>
    <w:link w:val="Footer"/>
    <w:uiPriority w:val="99"/>
    <w:rsid w:val="00140138"/>
  </w:style>
  <w:style w:type="paragraph" w:styleId="Revision">
    <w:name w:val="Revision"/>
    <w:hidden w:val="1"/>
    <w:uiPriority w:val="99"/>
    <w:semiHidden w:val="1"/>
    <w:rsid w:val="00711C78"/>
    <w:pPr>
      <w:spacing w:after="0" w:line="240" w:lineRule="auto"/>
    </w:pPr>
  </w:style>
  <w:style w:type="character" w:styleId="CommentReference">
    <w:name w:val="annotation reference"/>
    <w:basedOn w:val="DefaultParagraphFont"/>
    <w:uiPriority w:val="99"/>
    <w:semiHidden w:val="1"/>
    <w:unhideWhenUsed w:val="1"/>
    <w:rsid w:val="004D1BAB"/>
    <w:rPr>
      <w:sz w:val="16"/>
      <w:szCs w:val="16"/>
    </w:rPr>
  </w:style>
  <w:style w:type="paragraph" w:styleId="CommentText">
    <w:name w:val="annotation text"/>
    <w:basedOn w:val="Normal"/>
    <w:link w:val="CommentTextChar"/>
    <w:uiPriority w:val="99"/>
    <w:unhideWhenUsed w:val="1"/>
    <w:rsid w:val="004D1BAB"/>
    <w:pPr>
      <w:spacing w:line="240" w:lineRule="auto"/>
    </w:pPr>
    <w:rPr>
      <w:sz w:val="20"/>
      <w:szCs w:val="20"/>
    </w:rPr>
  </w:style>
  <w:style w:type="character" w:styleId="CommentTextChar" w:customStyle="1">
    <w:name w:val="Comment Text Char"/>
    <w:basedOn w:val="DefaultParagraphFont"/>
    <w:link w:val="CommentText"/>
    <w:uiPriority w:val="99"/>
    <w:rsid w:val="004D1BAB"/>
    <w:rPr>
      <w:sz w:val="20"/>
      <w:szCs w:val="20"/>
    </w:rPr>
  </w:style>
  <w:style w:type="paragraph" w:styleId="CommentSubject">
    <w:name w:val="annotation subject"/>
    <w:basedOn w:val="CommentText"/>
    <w:next w:val="CommentText"/>
    <w:link w:val="CommentSubjectChar"/>
    <w:uiPriority w:val="99"/>
    <w:semiHidden w:val="1"/>
    <w:unhideWhenUsed w:val="1"/>
    <w:rsid w:val="004D1BAB"/>
    <w:rPr>
      <w:b w:val="1"/>
      <w:bCs w:val="1"/>
    </w:rPr>
  </w:style>
  <w:style w:type="character" w:styleId="CommentSubjectChar" w:customStyle="1">
    <w:name w:val="Comment Subject Char"/>
    <w:basedOn w:val="CommentTextChar"/>
    <w:link w:val="CommentSubject"/>
    <w:uiPriority w:val="99"/>
    <w:semiHidden w:val="1"/>
    <w:rsid w:val="004D1BAB"/>
    <w:rPr>
      <w:b w:val="1"/>
      <w:bCs w:val="1"/>
      <w:sz w:val="20"/>
      <w:szCs w:val="20"/>
    </w:rPr>
  </w:style>
  <w:style w:type="paragraph" w:styleId="FootnoteText">
    <w:name w:val="footnote text"/>
    <w:basedOn w:val="Normal"/>
    <w:link w:val="FootnoteTextChar"/>
    <w:uiPriority w:val="99"/>
    <w:semiHidden w:val="1"/>
    <w:unhideWhenUsed w:val="1"/>
    <w:rsid w:val="005900D9"/>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5900D9"/>
    <w:rPr>
      <w:sz w:val="20"/>
      <w:szCs w:val="20"/>
    </w:rPr>
  </w:style>
  <w:style w:type="character" w:styleId="FootnoteReference">
    <w:name w:val="footnote reference"/>
    <w:basedOn w:val="DefaultParagraphFont"/>
    <w:uiPriority w:val="99"/>
    <w:semiHidden w:val="1"/>
    <w:unhideWhenUsed w:val="1"/>
    <w:rsid w:val="005900D9"/>
    <w:rPr>
      <w:vertAlign w:val="superscrip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6vPIL9wGZcpyU4dSsPiJPhVJA==">CgMxLjA4AHIhMXdNRm1RWC1wWkVzZHBvcGMzR292aVBhMDJCWXd6eUZw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2025-09-23T16:38:00Z</dcterms:created>
  <dc:creator>Ulrike LAST</dc:creator>
</cp:coreProperties>
</file>